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eastAsia="方正小标宋_GBK"/>
          <w:sz w:val="32"/>
          <w:szCs w:val="32"/>
        </w:rPr>
      </w:pPr>
      <w:r>
        <w:rPr>
          <w:rFonts w:hint="eastAsia" w:ascii="方正小标宋_GBK" w:eastAsia="方正小标宋_GBK"/>
          <w:sz w:val="32"/>
          <w:szCs w:val="32"/>
        </w:rPr>
        <w:t>2016年贵阳市新增权责事项目录</w:t>
      </w:r>
    </w:p>
    <w:tbl>
      <w:tblPr>
        <w:tblStyle w:val="4"/>
        <w:tblW w:w="8705" w:type="dxa"/>
        <w:tblInd w:w="-8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586"/>
        <w:gridCol w:w="1072"/>
        <w:gridCol w:w="1164"/>
        <w:gridCol w:w="3424"/>
        <w:gridCol w:w="1074"/>
        <w:gridCol w:w="683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312" w:hRule="atLeast"/>
          <w:tblHeader/>
        </w:trPr>
        <w:tc>
          <w:tcPr>
            <w:tcW w:w="586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2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权力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164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设定依据</w:t>
            </w:r>
          </w:p>
        </w:tc>
        <w:tc>
          <w:tcPr>
            <w:tcW w:w="3424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责任事项</w:t>
            </w:r>
          </w:p>
        </w:tc>
        <w:tc>
          <w:tcPr>
            <w:tcW w:w="1074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责任事项依据</w:t>
            </w:r>
          </w:p>
        </w:tc>
        <w:tc>
          <w:tcPr>
            <w:tcW w:w="68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承办机构</w:t>
            </w:r>
          </w:p>
        </w:tc>
        <w:tc>
          <w:tcPr>
            <w:tcW w:w="702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18"/>
                <w:szCs w:val="18"/>
              </w:rPr>
              <w:t>追责对象范围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312" w:hRule="atLeast"/>
          <w:tblHeader/>
        </w:trPr>
        <w:tc>
          <w:tcPr>
            <w:tcW w:w="586" w:type="dxa"/>
            <w:vMerge w:val="continue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2" w:type="dxa"/>
            <w:vMerge w:val="continue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4" w:type="dxa"/>
            <w:vMerge w:val="continue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24" w:type="dxa"/>
            <w:vMerge w:val="continue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 w:val="continue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3" w:type="dxa"/>
            <w:vMerge w:val="continue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2" w:type="dxa"/>
            <w:vMerge w:val="continue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4846" w:hRule="atLeast"/>
        </w:trPr>
        <w:tc>
          <w:tcPr>
            <w:tcW w:w="586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72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行政处罚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《国务院关于修改部分行政法规的决定》（中华人民共和国国务院令（2016年第666号）、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《生猪屠宰条例》</w:t>
            </w:r>
          </w:p>
        </w:tc>
        <w:tc>
          <w:tcPr>
            <w:tcW w:w="342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1、立案责任：对依据监督检查职权或者通过举报、投诉、其他部门移送、上级部门交办等途径发现的违法行为线索，决定是否立案。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2、调查责任：在调查或检查时，执法人员不得少于2人，并向当事人或有关人员出示证件，询问或检查应制作笔录;执法人员与当事人有直接利害关系的，应当回避。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3、审查责任：对案件的违法事实、收集的证据、办案的程序、法律适用、处罚种类和幅度、当事人的陈辩申诉理由等进行审查，提出处理意见；对情节复杂或者重大违法行为给予较重的行政处罚，行政机关的负责人应当集体讨论决定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4、告知责任：在作出处罚决定之前，应当告知当事人作出处罚决定的事由、理由及依据，并告知当事人依法享有的权利;当事人依法要求听证的，应组织听证。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5、决定责任：依法应当给以行政处罚的，制作盖有行政机关印章的处罚决定书，载明违法事实、证据、处罚种类和依据、权利救济途径等内容。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6、送达责任：行政处罚决定书在决定后的七日内依照《民事诉讼法》的有关规定送达当事人。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7、执行责任：督促当事人履行生效的行政处罚决定，对逾期不履行的，依照《行政强制法》的规定执行。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8、法律法规规章文件规定应履行的其他责任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《中华人民共和国行政处罚法》第15、31、37、38、39、40、42条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市食药监局稽查局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市食药监局法定代表人、分管领导、市食药监局稽查局负责人、具体承办人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2286" w:hRule="atLeast"/>
        </w:trPr>
        <w:tc>
          <w:tcPr>
            <w:tcW w:w="586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72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行政处罚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《医疗器械召回管理办法（试行）</w:t>
            </w:r>
          </w:p>
        </w:tc>
        <w:tc>
          <w:tcPr>
            <w:tcW w:w="342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1、立案责任：对依据监督检查职权或者通过举报、投诉、其他部门移送、上级部门交办等途径发现的违法行为线索，决定是否立案。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2、调查责任：在调查或检查时，执法人员不得少于2人，并向当事人或有关人员出示证件，询问或检查应制作笔录;执法人员与当事人有直接利害关系的，应当回避。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审查责任：对案件的违法事实、收集的证据、办案的程序、法律适用、处罚种类和幅度、当事人的陈辩申诉理由等进行审查，提出处理意见；对情节复杂或者重大违法行为给予较重的行政处罚，行政机关的负责人应当集体讨论决定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4、告知责任：在作出处罚决定之前，应当告知当事人作出处罚决定的事由、理由及依据，并告知当事人依法享有的权利;当事人依法要求听证的，应组织听证。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5、决定责任：依法应当给以行政处罚的，制作盖有行政机关印章的处罚决定书，载明违法事实、证据、处罚种类和依据、权利救济途径等内容。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6、送达责任：行政处罚决定书在决定后的七日内依照《民事诉讼法》的有关规定送达当事人。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7、执行责任：督促当事人履行生效的行政处罚决定，对逾期不履行的，依照《行政强制法》的规定执行。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8、法律法规规章文件规定应履行的其他责任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《中华人民共和国行政处罚法》第15、31、37、38、39、40、42条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市食药监局稽查局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市食药监局法定代表人、分管领导、市食药监局稽查局负责人、具体承办人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4524" w:hRule="atLeast"/>
        </w:trPr>
        <w:tc>
          <w:tcPr>
            <w:tcW w:w="586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72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行政处罚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《医疗器械使用质量监督管理办法》</w:t>
            </w:r>
          </w:p>
        </w:tc>
        <w:tc>
          <w:tcPr>
            <w:tcW w:w="3424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1、立案责任：对依据监督检查职权或者通过举报、投诉、其他部门移送、上级部门交办等途径发现的违法行为线索，决定是否立案。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2、调查责任：在调查或检查时，执法人员不得少于2人，并向当事人或有关人员出示证件，询问或检查应制作笔录;执法人员与当事人有直接利害关系的，应当回避。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审查责任：对案件的违法事实、收集的证据、办案的程序、法律适用、处罚种类和幅度、当事人的陈辩申诉理由等进行审查，提出处理意见；对情节复杂或者重大违法行为给予较重的行政处罚，行政机关的负责人应当集体讨论决定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4、告知责任：在作出处罚决定之前，应当告知当事人作出处罚决定的事由、理由及依据，并告知当事人依法享有的权利;当事人依法要求听证的，应组织听证。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5、决定责任：依法应当给以行政处罚的，制作盖有行政机关印章的处罚决定书，载明违法事实、证据、处罚种类和依据、权利救济途径等内容。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6、送达责任：行政处罚决定书在决定后的七日内依照《民事诉讼法》的有关规定送达当事人。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7、执行责任：督促当事人履行生效的行政处罚决定，对逾期不履行的，依照《行政强制法》的规定执行。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8、法律法规规章文件规定应履行的其他责任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《中华人民共和国行政处罚法》第15、31、37、38、39、40、42条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市食药监局稽查局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市食药监局法定代表人、分管领导、市食药监局稽查局负责人、具体承办人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4524" w:hRule="atLeast"/>
        </w:trPr>
        <w:tc>
          <w:tcPr>
            <w:tcW w:w="586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72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行政处罚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《医疗器械使用质量监督管理办法》　</w:t>
            </w:r>
          </w:p>
        </w:tc>
        <w:tc>
          <w:tcPr>
            <w:tcW w:w="3424" w:type="dxa"/>
            <w:shd w:val="clear" w:color="auto" w:fill="auto"/>
            <w:vAlign w:val="center"/>
          </w:tcPr>
          <w:p>
            <w:pPr>
              <w:widowControl/>
              <w:spacing w:line="28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1、立案责任：对依据监督检查职权或者通过举报、投诉、其他部门移送、上级部门交办等途径发现的违法行为线索，决定是否立案。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2、调查责任：在调查或检查时，执法人员不得少于2人，并向当事人或有关人员出示证件，询问或检查应制作笔录;执法人员与当事人有直接利害关系的，应当回避。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审查责任：对案件的违法事实、收集的证据、办案的程序、法律适用、处罚种类和幅度、当事人的陈辩申诉理由等进行审查，提出处理意见；对情节复杂或者重大违法行为给予较重的行政处罚，行政机关的负责人应当集体讨论决定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4、告知责任：在作出处罚决定之前，应当告知当事人作出处罚决定的事由、理由及依据，并告知当事人依法享有的权利;当事人依法要求听证的，应组织听证。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5、决定责任：依法应当给以行政处罚的，制作盖有行政机关印章的处罚决定书，载明违法事实、证据、处罚种类和依据、权利救济途径等内容。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6、送达责任：行政处罚决定书在决定后的七日内依照《民事诉讼法》的有关规定送达当事人。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7、执行责任：督促当事人履行生效的行政处罚决定，对逾期不履行的，依照《行政强制法》的规定执行。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8、法律法规规章文件规定应履行的其他责任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《中华人民共和国行政处罚法》第15、31、37、38、39、40、42条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市食药监局稽查局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市食药监局法定代表人、分管领导、市食药监局稽查局负责人、具体承办人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rHeight w:val="3995" w:hRule="atLeast"/>
        </w:trPr>
        <w:tc>
          <w:tcPr>
            <w:tcW w:w="586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72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行政强制</w:t>
            </w:r>
          </w:p>
        </w:tc>
        <w:tc>
          <w:tcPr>
            <w:tcW w:w="116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《中华人民共和国行政处罚法》、《食品药品行政处罚程序规定》《中华人民共和国食品安全法》、《国务院关于加强食品等产品安全监督管理的特别规定》</w:t>
            </w:r>
          </w:p>
        </w:tc>
        <w:tc>
          <w:tcPr>
            <w:tcW w:w="342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1、检查责任：调查或检查时，案件承办人不得少于2人，应当向当事人或者有关人员出示行政执法证件，现场检查情况应当如实记入现场检查笔录。执法人员应当保守秘密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2、审查责任：案件承办机构负责人对办案人员提出的采取行政强制措施的理由、种类、依据进行审查。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3、决定告知责任：经行政机构分管负责人批准后实施行证据制措施。当场告知当事人采取证据保全措施的理由、依据以及当事人依法享有的权利及救济途径。7日内告知行政处理决定。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4、执行责任：制作并送达证据保全决定书，异地保存的妥善保管有关物品，7日内作出行政处理决定。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5、法律法规规章文件规定的应履行的其他责任。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《中华人民共和国中华人民共和国行政处罚法》　第37条、《食品药品行政处罚程序规定》第25条　《中华人民共和国食品安全法》、《国务院关于加强食品等产品安全监督管理的特别规定》《食品药品行政处罚程序规定》第25、26条</w:t>
            </w:r>
          </w:p>
        </w:tc>
        <w:tc>
          <w:tcPr>
            <w:tcW w:w="683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市食药监局稽查局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widowControl/>
              <w:spacing w:line="300" w:lineRule="exac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市食药监局法定代表人、分管领导、市食药监局稽查局负责人、具体承办人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7073E"/>
    <w:rsid w:val="1EC6271A"/>
    <w:rsid w:val="290F1676"/>
    <w:rsid w:val="58E20574"/>
    <w:rsid w:val="6486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弱水三千</cp:lastModifiedBy>
  <dcterms:modified xsi:type="dcterms:W3CDTF">2018-02-07T00:54:52Z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