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2015,215.92</w:t>
        <w:br/>
        <w:t>2016,232.25</w:t>
        <w:br/>
        <w:t>2017,248.16</w:t>
        <w:br/>
        <w:t>2018,264.82</w:t>
        <w:br/>
        <w:t>2019,274.07</w:t>
        <w:br/>
        <w:t>2020,281.48</w:t>
        <w:br/>
        <w:t>2021,313.89</w:t>
        <w:br/>
        <w:t>2022,362.6</w:t>
        <w:br/>
        <w:t>2023,375.2</w:t>
        <w:br/>
        <w:br/>
        <w:t>Predictions:</w:t>
        <w:br/>
        <w:t>- 2024: 390.0</w:t>
        <w:br/>
        <w:t>- 2025: 410.0</w:t>
        <w:br/>
        <w:t>- 2026: 430.0</w:t>
        <w:br/>
        <w:br/>
        <w:t>Notes:</w:t>
        <w:br/>
        <w:t>- Prices have been rising steadily.</w:t>
        <w:br/>
        <w:t>- Expected continued growth based on economic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