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CCM OilBathDryer Business Plan</w:t>
      </w:r>
    </w:p>
    <w:p>
      <w:pPr>
        <w:jc w:val="center"/>
      </w:pPr>
      <w:r>
        <w:rPr>
          <w:b/>
          <w:sz w:val="28"/>
        </w:rPr>
        <w:t>Sewage Sludge Drying &amp; Energy Recovery Solution</w:t>
      </w:r>
    </w:p>
    <w:p/>
    <w:p>
      <w:r>
        <w:rPr>
          <w:b/>
        </w:rPr>
        <w:t xml:space="preserve">Document ID: </w:t>
      </w:r>
      <w:r>
        <w:t>CCM-BP-001</w:t>
      </w:r>
      <w:r>
        <w:rPr>
          <w:b/>
        </w:rPr>
        <w:br/>
        <w:t xml:space="preserve">Date: </w:t>
      </w:r>
      <w:r>
        <w:t>February 11, 2026</w:t>
      </w:r>
      <w:r>
        <w:rPr>
          <w:b/>
        </w:rPr>
        <w:br/>
        <w:t xml:space="preserve">Classification: </w:t>
      </w:r>
      <w:r>
        <w:t>Confidential - Internal Use Only</w:t>
      </w:r>
      <w:r>
        <w:rPr>
          <w:b/>
        </w:rPr>
        <w:br/>
        <w:t xml:space="preserve">Prepared by: </w:t>
      </w:r>
      <w:r>
        <w:t>Zero-X Global Control Center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Opportunity</w:t>
      </w:r>
    </w:p>
    <w:p>
      <w:r>
        <w:t xml:space="preserve">The European sewage sludge market faces a critical challenge: </w:t>
      </w:r>
      <w:r>
        <w:rPr>
          <w:b/>
        </w:rPr>
        <w:t>10+ million tonnes</w:t>
      </w:r>
      <w:r>
        <w:t xml:space="preserve"> of wet sludge annually requiring expensive disposal at </w:t>
      </w:r>
      <w:r>
        <w:rPr>
          <w:b/>
        </w:rPr>
        <w:t>€230-280/tonne</w:t>
      </w:r>
      <w:r>
        <w:t>. CCM (Continuous Contact Matter) OilBathDryer technology offers a breakthrough solution.</w:t>
      </w:r>
    </w:p>
    <w:p>
      <w:pPr>
        <w:pStyle w:val="Heading2"/>
      </w:pPr>
      <w:r>
        <w:t>1.2 Solution</w:t>
      </w:r>
    </w:p>
    <w:p>
      <w:pPr>
        <w:pStyle w:val="ListBullet"/>
      </w:pPr>
      <w:r>
        <w:t>Reduces sludge volume by 80-90%</w:t>
      </w:r>
    </w:p>
    <w:p>
      <w:pPr>
        <w:pStyle w:val="ListBullet"/>
      </w:pPr>
      <w:r>
        <w:t>Recovers thermal energy for reuse</w:t>
      </w:r>
    </w:p>
    <w:p>
      <w:pPr>
        <w:pStyle w:val="ListBullet"/>
      </w:pPr>
      <w:r>
        <w:t>Operates at low temperatures (120-180°C) vs conventional (400°C+)</w:t>
      </w:r>
    </w:p>
    <w:p>
      <w:pPr>
        <w:pStyle w:val="ListBullet"/>
      </w:pPr>
      <w:r>
        <w:t>Integrates with X-150 for complete waste-to-energy</w:t>
      </w:r>
    </w:p>
    <w:p>
      <w:pPr>
        <w:pStyle w:val="Heading2"/>
      </w:pPr>
      <w:r>
        <w:t>1.3 Research Partnerships</w:t>
      </w:r>
    </w:p>
    <w:p>
      <w:r>
        <w:t>Hochschule Zittau/Görlitz (HSZG): Thermal process engineering, pilot validation</w:t>
      </w:r>
    </w:p>
    <w:p>
      <w:r>
        <w:t>Fraunhofer Institute: System certification, EU market access</w:t>
      </w:r>
    </w:p>
    <w:p>
      <w:pPr>
        <w:pStyle w:val="Heading2"/>
      </w:pPr>
      <w:r>
        <w:t>1.4 Target Market</w:t>
      </w:r>
    </w:p>
    <w:p>
      <w:r>
        <w:t>German municipal wastewater utilities (Kläranlagen)</w:t>
      </w:r>
    </w:p>
    <w:p>
      <w:r>
        <w:t>Industrial sludge producers (food, paper, chemicals)</w:t>
      </w:r>
    </w:p>
    <w:p>
      <w:r>
        <w:br w:type="page"/>
      </w:r>
    </w:p>
    <w:p>
      <w:pPr>
        <w:pStyle w:val="Heading1"/>
      </w:pPr>
      <w:r>
        <w:t>2. THE PROBLEM</w:t>
      </w:r>
    </w:p>
    <w:p>
      <w:pPr>
        <w:pStyle w:val="Heading2"/>
      </w:pPr>
      <w:r>
        <w:t>2.1 Market Pain Points</w:t>
      </w:r>
    </w:p>
    <w:p>
      <w:pPr>
        <w:pStyle w:val="ListBullet"/>
      </w:pPr>
      <w:r>
        <w:t>German sewage sludge disposal: €230/tonne dry matter (2025)</w:t>
      </w:r>
    </w:p>
    <w:p>
      <w:pPr>
        <w:pStyle w:val="ListBullet"/>
      </w:pPr>
      <w:r>
        <w:t>Rising landfill restrictions (Klärschlammverordnung)</w:t>
      </w:r>
    </w:p>
    <w:p>
      <w:pPr>
        <w:pStyle w:val="ListBullet"/>
      </w:pPr>
      <w:r>
        <w:t>Incineration capacity shortage</w:t>
      </w:r>
    </w:p>
    <w:p>
      <w:pPr>
        <w:pStyle w:val="ListBullet"/>
      </w:pPr>
      <w:r>
        <w:t>Transport costs for wet sludge (80% water)</w:t>
      </w:r>
    </w:p>
    <w:p>
      <w:r>
        <w:br w:type="page"/>
      </w:r>
    </w:p>
    <w:p>
      <w:pPr>
        <w:pStyle w:val="Heading1"/>
      </w:pPr>
      <w:r>
        <w:t>3. THE CCM OILBATHDRYER SOLUTION</w:t>
      </w:r>
    </w:p>
    <w:p>
      <w:pPr>
        <w:pStyle w:val="Heading2"/>
      </w:pPr>
      <w:r>
        <w:t>3.2 Key Technical Advantages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CCM</w:t>
            </w:r>
          </w:p>
        </w:tc>
        <w:tc>
          <w:tcPr>
            <w:tcW w:type="dxa" w:w="2880"/>
          </w:tcPr>
          <w:p>
            <w:r>
              <w:t>Conventional</w:t>
            </w:r>
          </w:p>
        </w:tc>
      </w:tr>
      <w:tr>
        <w:tc>
          <w:tcPr>
            <w:tcW w:type="dxa" w:w="2880"/>
          </w:tcPr>
          <w:p>
            <w:r>
              <w:t>Operating Temp</w:t>
            </w:r>
          </w:p>
        </w:tc>
        <w:tc>
          <w:tcPr>
            <w:tcW w:type="dxa" w:w="2880"/>
          </w:tcPr>
          <w:p>
            <w:r>
              <w:t>120-180°C</w:t>
            </w:r>
          </w:p>
        </w:tc>
        <w:tc>
          <w:tcPr>
            <w:tcW w:type="dxa" w:w="2880"/>
          </w:tcPr>
          <w:p>
            <w:r>
              <w:t>400-800°C</w:t>
            </w:r>
          </w:p>
        </w:tc>
      </w:tr>
      <w:tr>
        <w:tc>
          <w:tcPr>
            <w:tcW w:type="dxa" w:w="2880"/>
          </w:tcPr>
          <w:p>
            <w:r>
              <w:t>Energy Use</w:t>
            </w:r>
          </w:p>
        </w:tc>
        <w:tc>
          <w:tcPr>
            <w:tcW w:type="dxa" w:w="2880"/>
          </w:tcPr>
          <w:p>
            <w:r>
              <w:t>300-400 kWh/t</w:t>
            </w:r>
          </w:p>
        </w:tc>
        <w:tc>
          <w:tcPr>
            <w:tcW w:type="dxa" w:w="2880"/>
          </w:tcPr>
          <w:p>
            <w:r>
              <w:t>800-1200 kWh/t</w:t>
            </w:r>
          </w:p>
        </w:tc>
      </w:tr>
      <w:tr>
        <w:tc>
          <w:tcPr>
            <w:tcW w:type="dxa" w:w="2880"/>
          </w:tcPr>
          <w:p>
            <w:r>
              <w:t>Volume Reduction</w:t>
            </w:r>
          </w:p>
        </w:tc>
        <w:tc>
          <w:tcPr>
            <w:tcW w:type="dxa" w:w="2880"/>
          </w:tcPr>
          <w:p>
            <w:r>
              <w:t>80-90%</w:t>
            </w:r>
          </w:p>
        </w:tc>
        <w:tc>
          <w:tcPr>
            <w:tcW w:type="dxa" w:w="2880"/>
          </w:tcPr>
          <w:p>
            <w:r>
              <w:t>70-85%</w:t>
            </w:r>
          </w:p>
        </w:tc>
      </w:tr>
      <w:tr>
        <w:tc>
          <w:tcPr>
            <w:tcW w:type="dxa" w:w="2880"/>
          </w:tcPr>
          <w:p>
            <w:r>
              <w:t>Efficiency</w:t>
            </w:r>
          </w:p>
        </w:tc>
        <w:tc>
          <w:tcPr>
            <w:tcW w:type="dxa" w:w="2880"/>
          </w:tcPr>
          <w:p>
            <w:r>
              <w:t>&gt;85%</w:t>
            </w:r>
          </w:p>
        </w:tc>
        <w:tc>
          <w:tcPr>
            <w:tcW w:type="dxa" w:w="2880"/>
          </w:tcPr>
          <w:p>
            <w:r>
              <w:t>40-60%</w:t>
            </w:r>
          </w:p>
        </w:tc>
      </w:tr>
      <w:tr>
        <w:tc>
          <w:tcPr>
            <w:tcW w:type="dxa" w:w="2880"/>
          </w:tcPr>
          <w:p>
            <w:r>
              <w:t>Footprint</w:t>
            </w:r>
          </w:p>
        </w:tc>
        <w:tc>
          <w:tcPr>
            <w:tcW w:type="dxa" w:w="2880"/>
          </w:tcPr>
          <w:p>
            <w:r>
              <w:t>Compact</w:t>
            </w:r>
          </w:p>
        </w:tc>
        <w:tc>
          <w:tcPr>
            <w:tcW w:type="dxa" w:w="2880"/>
          </w:tcPr>
          <w:p>
            <w:r>
              <w:t>Large facility</w:t>
            </w:r>
          </w:p>
        </w:tc>
      </w:tr>
    </w:tbl>
    <w:p>
      <w:r>
        <w:br w:type="page"/>
      </w:r>
    </w:p>
    <w:p>
      <w:pPr>
        <w:pStyle w:val="Heading1"/>
      </w:pPr>
      <w:r>
        <w:t>4. RESEARCH PARTNERSHIPS</w:t>
      </w:r>
    </w:p>
    <w:p>
      <w:pPr>
        <w:pStyle w:val="Heading2"/>
      </w:pPr>
      <w:r>
        <w:t>4.1 Hochschule Zittau/Görlitz (HSZG)</w:t>
      </w:r>
    </w:p>
    <w:p>
      <w:r>
        <w:t>Leading German university for energy and environmental engineering. Location: Zittau, Saxony.</w:t>
      </w:r>
    </w:p>
    <w:p>
      <w:r>
        <w:t>Collaboration areas: Process optimization, thermal modeling, pilot validation, BMBF funding access.</w:t>
      </w:r>
    </w:p>
    <w:p>
      <w:pPr>
        <w:pStyle w:val="Heading2"/>
      </w:pPr>
      <w:r>
        <w:t>4.2 Fraunhofer Institute</w:t>
      </w:r>
    </w:p>
    <w:p>
      <w:r>
        <w:t>Europe's leading applied research organization.</w:t>
      </w:r>
    </w:p>
    <w:p>
      <w:pPr>
        <w:pStyle w:val="ListBullet"/>
      </w:pPr>
      <w:r>
        <w:t>UMSICHT: Environmental and energy technology</w:t>
      </w:r>
    </w:p>
    <w:p>
      <w:pPr>
        <w:pStyle w:val="ListBullet"/>
      </w:pPr>
      <w:r>
        <w:t>IKTS: Ceramic technologies and systems</w:t>
      </w:r>
    </w:p>
    <w:p>
      <w:pPr>
        <w:pStyle w:val="ListBullet"/>
      </w:pPr>
      <w:r>
        <w:t>ISE: Solar energy systems</w:t>
      </w:r>
    </w:p>
    <w:p/>
    <w:p>
      <w:r>
        <w:t>Strategic Value:</w:t>
      </w:r>
    </w:p>
    <w:p>
      <w:pPr>
        <w:pStyle w:val="ListBullet"/>
      </w:pPr>
      <w:r>
        <w:t>Gold standard certification for EU market</w:t>
      </w:r>
    </w:p>
    <w:p>
      <w:pPr>
        <w:pStyle w:val="ListBullet"/>
      </w:pPr>
      <w:r>
        <w:t>Access to Horizon Europe funding (€95B)</w:t>
      </w:r>
    </w:p>
    <w:p>
      <w:pPr>
        <w:pStyle w:val="ListBullet"/>
      </w:pPr>
      <w:r>
        <w:t>30,000+ employees, 72 institutes</w:t>
      </w:r>
    </w:p>
    <w:p>
      <w:pPr>
        <w:pStyle w:val="ListBullet"/>
      </w:pPr>
      <w:r>
        <w:t>Brand recognition with government/industry</w:t>
      </w:r>
    </w:p>
    <w:p>
      <w:r>
        <w:br w:type="page"/>
      </w:r>
    </w:p>
    <w:p>
      <w:pPr>
        <w:pStyle w:val="Heading1"/>
      </w:pPr>
      <w:r>
        <w:t>5. MARKET ANALYSIS</w:t>
      </w:r>
    </w:p>
    <w:p>
      <w:r>
        <w:t>TAM: €2-3 billion annually (European sewage sludge market)</w:t>
      </w:r>
    </w:p>
    <w:p>
      <w:r>
        <w:t>SAM (Germany): €460M+ annually, 10,000+ treatment plants</w:t>
      </w:r>
    </w:p>
    <w:p>
      <w:r>
        <w:t>Target: Municipal utilities &gt;10,000 population equivalent</w:t>
      </w:r>
    </w:p>
    <w:p>
      <w:pPr>
        <w:pStyle w:val="Heading1"/>
      </w:pPr>
      <w:r>
        <w:t>6. BUSINESS MODEL</w:t>
      </w:r>
    </w:p>
    <w:p>
      <w:r>
        <w:t>Model A: Equipment Sales</w:t>
      </w:r>
    </w:p>
    <w:p>
      <w:r>
        <w:t>Model B: Build-Own-Operate (BOO)</w:t>
      </w:r>
    </w:p>
    <w:p>
      <w:r>
        <w:t>Model C: Joint Venture with utilities</w:t>
      </w:r>
    </w:p>
    <w:p/>
    <w:p>
      <w:r>
        <w:t>Unit Economics: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 Current Cost</w:t>
            </w:r>
          </w:p>
        </w:tc>
        <w:tc>
          <w:tcPr>
            <w:tcW w:type="dxa" w:w="4320"/>
          </w:tcPr>
          <w:p>
            <w:r>
              <w:t>€250/tonne</w:t>
            </w:r>
          </w:p>
        </w:tc>
      </w:tr>
      <w:tr>
        <w:tc>
          <w:tcPr>
            <w:tcW w:type="dxa" w:w="4320"/>
          </w:tcPr>
          <w:p>
            <w:r>
              <w:t>CCM Processing Cost</w:t>
            </w:r>
          </w:p>
        </w:tc>
        <w:tc>
          <w:tcPr>
            <w:tcW w:type="dxa" w:w="4320"/>
          </w:tcPr>
          <w:p>
            <w:r>
              <w:t>-€100/tonne</w:t>
            </w:r>
          </w:p>
        </w:tc>
      </w:tr>
      <w:tr>
        <w:tc>
          <w:tcPr>
            <w:tcW w:type="dxa" w:w="4320"/>
          </w:tcPr>
          <w:p>
            <w:r>
              <w:t>Customer Savings</w:t>
            </w:r>
          </w:p>
        </w:tc>
        <w:tc>
          <w:tcPr>
            <w:tcW w:type="dxa" w:w="4320"/>
          </w:tcPr>
          <w:p>
            <w:r>
              <w:t>€150/tonne (60%)</w:t>
            </w:r>
          </w:p>
        </w:tc>
      </w:tr>
      <w:tr>
        <w:tc>
          <w:tcPr>
            <w:tcW w:type="dxa" w:w="4320"/>
          </w:tcPr>
          <w:p>
            <w:r>
              <w:t>Zero-X Revenue</w:t>
            </w:r>
          </w:p>
        </w:tc>
        <w:tc>
          <w:tcPr>
            <w:tcW w:type="dxa" w:w="4320"/>
          </w:tcPr>
          <w:p>
            <w:r>
              <w:t>€100/tonne</w:t>
            </w:r>
          </w:p>
        </w:tc>
      </w:tr>
    </w:tbl>
    <w:p>
      <w:r>
        <w:br w:type="page"/>
      </w:r>
    </w:p>
    <w:p>
      <w:pPr>
        <w:pStyle w:val="Heading1"/>
      </w:pPr>
      <w:r>
        <w:t>7. GO-TO-MARKET STRATEGY</w:t>
      </w:r>
    </w:p>
    <w:p>
      <w:r>
        <w:t>Phase 1: Reference Projects (Year 1) - Leipzig region pilots</w:t>
      </w:r>
    </w:p>
    <w:p>
      <w:r>
        <w:t>Phase 2: Regional Expansion (Year 2-3) - Saxony, Brandenburg</w:t>
      </w:r>
    </w:p>
    <w:p>
      <w:r>
        <w:t>Phase 3: National &amp; EU (Year 4+) - Horizon Europe, international</w:t>
      </w:r>
    </w:p>
    <w:p>
      <w:pPr>
        <w:pStyle w:val="Heading1"/>
      </w:pPr>
      <w:r>
        <w:t>8. OPERATIONS PLAN</w:t>
      </w:r>
    </w:p>
    <w:p>
      <w:r>
        <w:t>Manufacturing: Sorption Technologies (Germany)</w:t>
      </w:r>
    </w:p>
    <w:p>
      <w:r>
        <w:t>Assembly: Spinlab Leipzig</w:t>
      </w:r>
    </w:p>
    <w:p>
      <w:r>
        <w:t>Service: Remote monitoring, preventive maintenance</w:t>
      </w:r>
    </w:p>
    <w:p>
      <w:pPr>
        <w:pStyle w:val="Heading1"/>
      </w:pPr>
      <w:r>
        <w:t>9. FINANCIAL PROJECTIONS</w:t>
      </w:r>
    </w:p>
    <w:p>
      <w:r>
        <w:t>[Detailed projections per FINANCIAL_PROTOCOL.md]</w:t>
      </w:r>
    </w:p>
    <w:p>
      <w:r>
        <w:t>Funding Sources: Horizon Europe, BMBF, SAB, strategic investors</w:t>
      </w:r>
    </w:p>
    <w:p>
      <w:pPr>
        <w:pStyle w:val="Heading1"/>
      </w:pPr>
      <w:r>
        <w:t>10. IMPLEMENTATION TIMELINE</w:t>
      </w:r>
    </w:p>
    <w:p>
      <w:r>
        <w:t>Month 1: Finalize HSZG partnership</w:t>
      </w:r>
    </w:p>
    <w:p>
      <w:r>
        <w:t>Month 1-2: Initiate Fraunhofer certification</w:t>
      </w:r>
    </w:p>
    <w:p>
      <w:r>
        <w:t>Month 2-3: Identify pilot sites</w:t>
      </w:r>
    </w:p>
    <w:p>
      <w:r>
        <w:t>Month 4-6: First pilot installation</w:t>
      </w:r>
    </w:p>
    <w:p>
      <w:pPr>
        <w:pStyle w:val="Heading1"/>
      </w:pPr>
      <w:r>
        <w:t>11. RISK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Scale-up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Phased approach</w:t>
            </w:r>
          </w:p>
        </w:tc>
      </w:tr>
      <w:tr>
        <w:tc>
          <w:tcPr>
            <w:tcW w:type="dxa" w:w="2880"/>
          </w:tcPr>
          <w:p>
            <w:r>
              <w:t>Feedstock variability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Flexible design</w:t>
            </w:r>
          </w:p>
        </w:tc>
      </w:tr>
      <w:tr>
        <w:tc>
          <w:tcPr>
            <w:tcW w:type="dxa" w:w="2880"/>
          </w:tcPr>
          <w:p>
            <w:r>
              <w:t>Component failure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Quality suppliers</w:t>
            </w:r>
          </w:p>
        </w:tc>
      </w:tr>
    </w:tbl>
    <w:p>
      <w:r>
        <w:br w:type="page"/>
      </w:r>
    </w:p>
    <w:p>
      <w:pPr>
        <w:pStyle w:val="Heading1"/>
      </w:pPr>
      <w:r>
        <w:t>12. CONCLUSION</w:t>
      </w:r>
    </w:p>
    <w:p>
      <w:r>
        <w:t>The CCM OilBathDryer represents a compelling opportunity:</w:t>
      </w:r>
    </w:p>
    <w:p>
      <w:r>
        <w:rPr>
          <w:b/>
        </w:rPr>
        <w:t xml:space="preserve">✓ </w:t>
      </w:r>
      <w:r>
        <w:t>Proven Technology: &gt;85% efficiency</w:t>
      </w:r>
    </w:p>
    <w:p>
      <w:r>
        <w:rPr>
          <w:b/>
        </w:rPr>
        <w:t xml:space="preserve">✓ </w:t>
      </w:r>
      <w:r>
        <w:t>Strong Value: 60% cost reduction for customers</w:t>
      </w:r>
    </w:p>
    <w:p>
      <w:r>
        <w:rPr>
          <w:b/>
        </w:rPr>
        <w:t xml:space="preserve">✓ </w:t>
      </w:r>
      <w:r>
        <w:t>Strategic Partners: HSZG and Fraunhofer</w:t>
      </w:r>
    </w:p>
    <w:p>
      <w:r>
        <w:rPr>
          <w:b/>
        </w:rPr>
        <w:t xml:space="preserve">✓ </w:t>
      </w:r>
      <w:r>
        <w:t>Complete Solution: X-150 integration</w:t>
      </w:r>
    </w:p>
    <w:p>
      <w:r>
        <w:rPr>
          <w:b/>
        </w:rPr>
        <w:t xml:space="preserve">✓ </w:t>
      </w:r>
      <w:r>
        <w:t>Market Timing: Regulatory pressure driving adoption</w:t>
      </w:r>
    </w:p>
    <w:p/>
    <w:p>
      <w:r>
        <w:t>Next Steps:</w:t>
      </w:r>
    </w:p>
    <w:p>
      <w:pPr>
        <w:pStyle w:val="ListNumber"/>
      </w:pPr>
      <w:r>
        <w:t>Finalize HSZG partnership agreement</w:t>
      </w:r>
    </w:p>
    <w:p>
      <w:pPr>
        <w:pStyle w:val="ListNumber"/>
      </w:pPr>
      <w:r>
        <w:t>Initiate Fraunhofer certification</w:t>
      </w:r>
    </w:p>
    <w:p>
      <w:pPr>
        <w:pStyle w:val="ListNumber"/>
      </w:pPr>
      <w:r>
        <w:t>Identify and secure first pilot site</w:t>
      </w:r>
    </w:p>
    <w:p>
      <w:pPr>
        <w:pStyle w:val="ListNumber"/>
      </w:pPr>
      <w:r>
        <w:t>Begin Horizon Europe consortium building</w:t>
      </w:r>
    </w:p>
    <w:p/>
    <w:p/>
    <w:p>
      <w:pPr>
        <w:jc w:val="center"/>
      </w:pPr>
      <w:r>
        <w:t>Document Control: Version 1.0 | Date: 2026-02-11</w:t>
        <w:br/>
      </w:r>
      <w:r>
        <w:t>Classification: Confidential - Internal Use Only</w:t>
        <w:br/>
      </w:r>
      <w:r>
        <w:t>© 2026 Exventure GmbH / Zero-X Labs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