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74E7" w14:textId="77777777" w:rsidR="009739F2" w:rsidRDefault="009739F2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</w:p>
    <w:p w14:paraId="36120CCB" w14:textId="7AFA54D5" w:rsidR="00AD3D8C" w:rsidRPr="00BB1E7D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14:paraId="6D819957" w14:textId="77777777"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14:paraId="6B20E6A6" w14:textId="77777777" w:rsidR="009D4E5D" w:rsidRDefault="009D4E5D" w:rsidP="009D4E5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683D504F" w14:textId="77777777" w:rsidR="009D4E5D" w:rsidRDefault="009D4E5D" w:rsidP="009D4E5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133ED705" w14:textId="77777777" w:rsidR="009D4E5D" w:rsidRDefault="009D4E5D" w:rsidP="009D4E5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6CCB9901" w14:textId="77777777" w:rsidR="009D4E5D" w:rsidRDefault="009D4E5D" w:rsidP="009D4E5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F0BF52A" w14:textId="77777777"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14:paraId="48C91EE7" w14:textId="463E8DAF" w:rsidR="00750BC2" w:rsidRPr="0037521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</w:t>
      </w:r>
      <w:r w:rsidR="009739F2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DE ALTA GAMMA </w:t>
      </w: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UTILIZANDO TRANSDUCTOR CONVEXO MULTIFRECUENCIAL PARA LA EXPLORACIÓN DEL ABDOMEN SUPERIOR, MUESTRA:</w:t>
      </w:r>
    </w:p>
    <w:p w14:paraId="66B36B2B" w14:textId="77777777" w:rsidR="00890D29" w:rsidRPr="00375216" w:rsidRDefault="00890D29" w:rsidP="00890D29">
      <w:pPr>
        <w:rPr>
          <w:rFonts w:ascii="Tahoma" w:hAnsi="Tahoma"/>
          <w:i/>
          <w:sz w:val="18"/>
        </w:rPr>
      </w:pPr>
    </w:p>
    <w:p w14:paraId="0C867837" w14:textId="6B49A2B1" w:rsidR="00DB754C" w:rsidRPr="00CF3509" w:rsidRDefault="00DB754C" w:rsidP="00522F3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CF3509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CF3509">
        <w:rPr>
          <w:rFonts w:ascii="Tahoma" w:hAnsi="Tahoma"/>
          <w:i/>
          <w:color w:val="000000"/>
          <w:sz w:val="18"/>
          <w:szCs w:val="20"/>
        </w:rPr>
        <w:t>:</w:t>
      </w: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conservado, mide </w:t>
      </w:r>
      <w:r>
        <w:rPr>
          <w:rFonts w:ascii="Tahoma" w:hAnsi="Tahoma"/>
          <w:b w:val="0"/>
          <w:i/>
          <w:color w:val="000000"/>
          <w:sz w:val="18"/>
          <w:szCs w:val="20"/>
        </w:rPr>
        <w:t>137</w:t>
      </w: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 a nivel del LHD. Muestra bordes definidos, ecogenicidad parenquimal </w:t>
      </w:r>
      <w:r w:rsidR="00CD3D8D">
        <w:rPr>
          <w:rFonts w:ascii="Tahoma" w:hAnsi="Tahoma"/>
          <w:b w:val="0"/>
          <w:i/>
          <w:color w:val="000000"/>
          <w:sz w:val="18"/>
          <w:szCs w:val="20"/>
        </w:rPr>
        <w:t xml:space="preserve">aumentado en forma difusa </w:t>
      </w:r>
      <w:r w:rsidRPr="00CF3509">
        <w:rPr>
          <w:rFonts w:ascii="Tahoma" w:hAnsi="Tahoma"/>
          <w:b w:val="0"/>
          <w:i/>
          <w:color w:val="000000"/>
          <w:sz w:val="18"/>
          <w:szCs w:val="20"/>
        </w:rPr>
        <w:t>y ecotextura homogénea sin evidencia de lesiones focales solidas ni quísticas. Conductos biliares intrahepáticos no muestran dilataciones.</w:t>
      </w:r>
    </w:p>
    <w:p w14:paraId="1DBE85CA" w14:textId="77777777" w:rsidR="00DB754C" w:rsidRPr="00CF3509" w:rsidRDefault="00DB754C" w:rsidP="00522F3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14:paraId="311F4584" w14:textId="77777777" w:rsidR="00DB754C" w:rsidRPr="00CF3509" w:rsidRDefault="00DB754C" w:rsidP="00522F3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</w:t>
      </w:r>
      <w:r>
        <w:rPr>
          <w:rFonts w:ascii="Tahoma" w:hAnsi="Tahoma"/>
          <w:b w:val="0"/>
          <w:i/>
          <w:color w:val="000000"/>
          <w:sz w:val="18"/>
          <w:szCs w:val="20"/>
        </w:rPr>
        <w:t>6</w:t>
      </w:r>
      <w:r w:rsidRPr="00CF3509">
        <w:rPr>
          <w:rFonts w:ascii="Tahoma" w:hAnsi="Tahoma"/>
          <w:b w:val="0"/>
          <w:i/>
          <w:color w:val="000000"/>
          <w:sz w:val="18"/>
          <w:szCs w:val="20"/>
        </w:rPr>
        <w:t xml:space="preserve">mm., de diámetro AP. Espacio de Morrison libre de colecciones.   </w:t>
      </w:r>
    </w:p>
    <w:p w14:paraId="17BA9619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C1CF8F3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>
        <w:rPr>
          <w:rFonts w:ascii="Tahoma" w:hAnsi="Tahoma" w:cs="Arial"/>
          <w:i/>
          <w:color w:val="000000"/>
          <w:sz w:val="18"/>
          <w:szCs w:val="20"/>
        </w:rPr>
        <w:t>55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>
        <w:rPr>
          <w:rFonts w:ascii="Tahoma" w:hAnsi="Tahoma" w:cs="Arial"/>
          <w:i/>
          <w:color w:val="000000"/>
          <w:sz w:val="18"/>
          <w:szCs w:val="20"/>
        </w:rPr>
        <w:t>24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14:paraId="2E876123" w14:textId="77777777" w:rsidR="00DB754C" w:rsidRPr="00F16397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14:paraId="1AA6540F" w14:textId="77777777" w:rsidR="00DB754C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El contenido líquido es homogéneo sin evidencia de imágenes litiásicas</w:t>
      </w:r>
      <w:r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79F37CD7" w14:textId="3E4CCFDC" w:rsidR="00DB754C" w:rsidRPr="00F16397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 xml:space="preserve">Se objetiva </w:t>
      </w:r>
      <w:r w:rsidR="00942036">
        <w:rPr>
          <w:rFonts w:ascii="Tahoma" w:hAnsi="Tahoma" w:cs="Arial"/>
          <w:i/>
          <w:color w:val="000000"/>
          <w:sz w:val="18"/>
          <w:szCs w:val="20"/>
        </w:rPr>
        <w:t xml:space="preserve">01 </w:t>
      </w:r>
      <w:r>
        <w:rPr>
          <w:rFonts w:ascii="Tahoma" w:hAnsi="Tahoma" w:cs="Arial"/>
          <w:i/>
          <w:color w:val="000000"/>
          <w:sz w:val="18"/>
          <w:szCs w:val="20"/>
        </w:rPr>
        <w:t>im</w:t>
      </w:r>
      <w:r w:rsidR="00942036">
        <w:rPr>
          <w:rFonts w:ascii="Tahoma" w:hAnsi="Tahoma" w:cs="Arial"/>
          <w:i/>
          <w:color w:val="000000"/>
          <w:sz w:val="18"/>
          <w:szCs w:val="20"/>
        </w:rPr>
        <w:t>a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gen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ecogénica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de aspecto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nodular de 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2.5mm.,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diámetro mayor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proyectada y/o adherida en la pared luminal anterior del cuerpo vesicular. </w:t>
      </w:r>
    </w:p>
    <w:p w14:paraId="0D09498E" w14:textId="77777777" w:rsidR="00DB754C" w:rsidRPr="00F16397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Colédoco proximal, mide </w:t>
      </w:r>
      <w:r>
        <w:rPr>
          <w:rFonts w:ascii="Tahoma" w:hAnsi="Tahoma" w:cs="Arial"/>
          <w:i/>
          <w:color w:val="000000"/>
          <w:sz w:val="18"/>
          <w:szCs w:val="20"/>
        </w:rPr>
        <w:t>2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mm., de diámetro AP. </w:t>
      </w:r>
    </w:p>
    <w:p w14:paraId="38579365" w14:textId="77777777" w:rsidR="00DB754C" w:rsidRPr="00F16397" w:rsidRDefault="00DB754C" w:rsidP="00DB754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12BE561F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CF3509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>
        <w:rPr>
          <w:rFonts w:ascii="Tahoma" w:hAnsi="Tahoma" w:cs="Arial"/>
          <w:i/>
          <w:color w:val="000000"/>
          <w:sz w:val="18"/>
          <w:szCs w:val="20"/>
        </w:rPr>
        <w:t>14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14:paraId="2AFAA13B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6C081039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14:paraId="0C6358F7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A58B1C1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CF3509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>
        <w:rPr>
          <w:rFonts w:ascii="Tahoma" w:hAnsi="Tahoma" w:cs="Arial"/>
          <w:i/>
          <w:color w:val="000000"/>
          <w:sz w:val="18"/>
          <w:szCs w:val="20"/>
        </w:rPr>
        <w:t>64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14:paraId="17A81188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25B54EC6" w14:textId="77777777" w:rsidR="00DB754C" w:rsidRPr="00CF3509" w:rsidRDefault="00DB754C" w:rsidP="00DB754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379BB688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CF3509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14:paraId="6BB64683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ABBF7E4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CF3509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CF3509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2821B9AD" w14:textId="77777777" w:rsidR="00DB754C" w:rsidRPr="00CF3509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30DCDF24" w14:textId="77777777" w:rsidR="00DB754C" w:rsidRPr="00CF3509" w:rsidRDefault="00DB754C" w:rsidP="00DB754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CF3509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246931E2" w14:textId="77777777" w:rsidR="00DB754C" w:rsidRPr="00CF3509" w:rsidRDefault="00DB754C" w:rsidP="00DB754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72AB81B7" w14:textId="77777777" w:rsidR="00DB754C" w:rsidRPr="00977574" w:rsidRDefault="00DB754C" w:rsidP="00DB754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CF3509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ECOGRÁFICOS:</w:t>
      </w:r>
    </w:p>
    <w:p w14:paraId="389C48C9" w14:textId="77777777" w:rsidR="00DB754C" w:rsidRPr="00F16397" w:rsidRDefault="00DB754C" w:rsidP="00DB754C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14:paraId="4CD89179" w14:textId="593796DC" w:rsidR="00CD3D8D" w:rsidRPr="00CD3D8D" w:rsidRDefault="00CD3D8D" w:rsidP="00DB754C">
      <w:pPr>
        <w:widowControl w:val="0"/>
        <w:numPr>
          <w:ilvl w:val="0"/>
          <w:numId w:val="10"/>
        </w:numPr>
        <w:jc w:val="both"/>
        <w:rPr>
          <w:rFonts w:ascii="Tahoma" w:hAnsi="Tahoma" w:cs="Arial"/>
          <w:i/>
          <w:color w:val="000000"/>
          <w:sz w:val="18"/>
          <w:szCs w:val="22"/>
        </w:rPr>
      </w:pPr>
      <w:r w:rsidRPr="00CD3D8D">
        <w:rPr>
          <w:rFonts w:ascii="Tahoma" w:hAnsi="Tahoma" w:cs="Arial"/>
          <w:i/>
          <w:color w:val="000000"/>
          <w:sz w:val="18"/>
          <w:szCs w:val="22"/>
        </w:rPr>
        <w:t>ESTEATOSIS HEP</w:t>
      </w:r>
      <w:r>
        <w:rPr>
          <w:rFonts w:ascii="Tahoma" w:hAnsi="Tahoma" w:cs="Arial"/>
          <w:i/>
          <w:color w:val="000000"/>
          <w:sz w:val="18"/>
          <w:szCs w:val="22"/>
        </w:rPr>
        <w:t>Á</w:t>
      </w:r>
      <w:r w:rsidRPr="00CD3D8D">
        <w:rPr>
          <w:rFonts w:ascii="Tahoma" w:hAnsi="Tahoma" w:cs="Arial"/>
          <w:i/>
          <w:color w:val="000000"/>
          <w:sz w:val="18"/>
          <w:szCs w:val="22"/>
        </w:rPr>
        <w:t>TICA DIFUSA LEVE (GRADO I)</w:t>
      </w:r>
    </w:p>
    <w:p w14:paraId="5EA111DF" w14:textId="02F35A37" w:rsidR="00DB754C" w:rsidRPr="00F16397" w:rsidRDefault="00DB754C" w:rsidP="00DB754C">
      <w:pPr>
        <w:widowControl w:val="0"/>
        <w:numPr>
          <w:ilvl w:val="0"/>
          <w:numId w:val="10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2"/>
        </w:rPr>
        <w:t>P</w:t>
      </w:r>
      <w:r w:rsidR="00942036">
        <w:rPr>
          <w:rFonts w:ascii="Tahoma" w:hAnsi="Tahoma" w:cs="Arial"/>
          <w:i/>
          <w:color w:val="000000"/>
          <w:sz w:val="18"/>
          <w:szCs w:val="22"/>
        </w:rPr>
        <w:t>Ó</w:t>
      </w:r>
      <w:r w:rsidRPr="00F16397">
        <w:rPr>
          <w:rFonts w:ascii="Tahoma" w:hAnsi="Tahoma" w:cs="Arial"/>
          <w:i/>
          <w:color w:val="000000"/>
          <w:sz w:val="18"/>
          <w:szCs w:val="22"/>
        </w:rPr>
        <w:t>LIPO</w:t>
      </w:r>
      <w:r w:rsidR="00942036">
        <w:rPr>
          <w:rFonts w:ascii="Tahoma" w:hAnsi="Tahoma" w:cs="Arial"/>
          <w:i/>
          <w:color w:val="000000"/>
          <w:sz w:val="18"/>
          <w:szCs w:val="22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2"/>
        </w:rPr>
        <w:t>VESICULAR.</w:t>
      </w:r>
    </w:p>
    <w:p w14:paraId="64378375" w14:textId="77777777" w:rsidR="00DB754C" w:rsidRPr="00F16397" w:rsidRDefault="00DB754C" w:rsidP="00DB754C">
      <w:pPr>
        <w:widowControl w:val="0"/>
        <w:numPr>
          <w:ilvl w:val="0"/>
          <w:numId w:val="10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14:paraId="40BB0B7A" w14:textId="77777777" w:rsidR="00DB754C" w:rsidRPr="00F16397" w:rsidRDefault="00DB754C" w:rsidP="00DB754C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2B41758" w14:textId="77777777" w:rsidR="00DB754C" w:rsidRPr="00F16397" w:rsidRDefault="00DB754C" w:rsidP="00DB754C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14:paraId="31F06482" w14:textId="77777777" w:rsidR="00DB754C" w:rsidRPr="00F16397" w:rsidRDefault="00DB754C" w:rsidP="00DB754C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14:paraId="6E4CAB63" w14:textId="77777777" w:rsidR="00DB754C" w:rsidRPr="00F16397" w:rsidRDefault="00DB754C" w:rsidP="00DB754C">
      <w:pPr>
        <w:pStyle w:val="Ttul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 w:rsidRPr="00F16397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p w14:paraId="0E57DED8" w14:textId="77777777" w:rsidR="00DB754C" w:rsidRPr="00F16397" w:rsidRDefault="00DB754C" w:rsidP="00DB754C">
      <w:pPr>
        <w:jc w:val="both"/>
        <w:rPr>
          <w:rFonts w:ascii="Tahoma" w:hAnsi="Tahoma"/>
          <w:b/>
          <w:bCs/>
          <w:i/>
          <w:color w:val="000000"/>
          <w:sz w:val="20"/>
          <w:szCs w:val="20"/>
        </w:rPr>
      </w:pPr>
    </w:p>
    <w:p w14:paraId="06499552" w14:textId="53700BED" w:rsidR="00246AEC" w:rsidRPr="00375216" w:rsidRDefault="00246AEC" w:rsidP="00DB754C">
      <w:pPr>
        <w:pStyle w:val="Ttulo3"/>
        <w:spacing w:before="0" w:after="0"/>
        <w:jc w:val="both"/>
        <w:rPr>
          <w:i/>
          <w:color w:val="000000"/>
          <w:sz w:val="18"/>
          <w:szCs w:val="20"/>
        </w:rPr>
      </w:pPr>
    </w:p>
    <w:sectPr w:rsidR="00246AEC" w:rsidRPr="00375216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5147422">
    <w:abstractNumId w:val="4"/>
  </w:num>
  <w:num w:numId="2" w16cid:durableId="2052461288">
    <w:abstractNumId w:val="7"/>
  </w:num>
  <w:num w:numId="3" w16cid:durableId="1952585081">
    <w:abstractNumId w:val="2"/>
  </w:num>
  <w:num w:numId="4" w16cid:durableId="1981492880">
    <w:abstractNumId w:val="0"/>
  </w:num>
  <w:num w:numId="5" w16cid:durableId="1221942987">
    <w:abstractNumId w:val="9"/>
  </w:num>
  <w:num w:numId="6" w16cid:durableId="1487673544">
    <w:abstractNumId w:val="8"/>
  </w:num>
  <w:num w:numId="7" w16cid:durableId="1184586456">
    <w:abstractNumId w:val="6"/>
  </w:num>
  <w:num w:numId="8" w16cid:durableId="293682614">
    <w:abstractNumId w:val="1"/>
  </w:num>
  <w:num w:numId="9" w16cid:durableId="1559508886">
    <w:abstractNumId w:val="3"/>
  </w:num>
  <w:num w:numId="10" w16cid:durableId="2744823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5216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2F32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036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39F2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4E5D"/>
    <w:rsid w:val="009D6DF7"/>
    <w:rsid w:val="009D715F"/>
    <w:rsid w:val="009E67A5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3D8D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B754C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BF510B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246AEC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basedOn w:val="Fuentedeprrafopredeter"/>
    <w:link w:val="Ttulo2"/>
    <w:rsid w:val="00DB754C"/>
    <w:rPr>
      <w:rFonts w:ascii="Arial" w:hAnsi="Arial" w:cs="Arial"/>
      <w:b/>
      <w:bCs/>
      <w:sz w:val="18"/>
      <w:szCs w:val="24"/>
    </w:rPr>
  </w:style>
  <w:style w:type="character" w:customStyle="1" w:styleId="TtuloCar">
    <w:name w:val="Título Car"/>
    <w:basedOn w:val="Fuentedeprrafopredeter"/>
    <w:link w:val="Ttulo"/>
    <w:rsid w:val="00DB754C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3</cp:revision>
  <cp:lastPrinted>2023-10-20T13:46:00Z</cp:lastPrinted>
  <dcterms:created xsi:type="dcterms:W3CDTF">2023-10-24T22:57:00Z</dcterms:created>
  <dcterms:modified xsi:type="dcterms:W3CDTF">2024-01-01T19:05:00Z</dcterms:modified>
</cp:coreProperties>
</file>