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010B0782" w14:textId="77777777" w:rsidR="00D47B03" w:rsidRDefault="00D47B03" w:rsidP="00D47B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F2BC552" w14:textId="77777777" w:rsidR="00D47B03" w:rsidRDefault="00D47B03" w:rsidP="00D47B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D3D8C04" w14:textId="77777777" w:rsidR="00D47B03" w:rsidRDefault="00D47B03" w:rsidP="00D47B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D3167C1" w14:textId="77777777" w:rsidR="00D47B03" w:rsidRDefault="00D47B03" w:rsidP="00D47B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6FBF1988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aumentada en forma difusa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asociado a pobre visualización de los vasos suprahepáticos y periportales, la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 Conductos biliares intrahepáticos no muestran dilataciones.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231F1DAE" w14:textId="77777777" w:rsidR="00DC55D5" w:rsidRPr="007214F8" w:rsidRDefault="00AD3D8C" w:rsidP="00DC55D5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DC55D5" w:rsidRPr="007214F8">
        <w:rPr>
          <w:rFonts w:ascii="Tahoma" w:hAnsi="Tahoma" w:cs="Arial"/>
          <w:i/>
          <w:color w:val="000000"/>
          <w:sz w:val="18"/>
          <w:szCs w:val="20"/>
        </w:rPr>
        <w:t xml:space="preserve">De situación habitual, presenta forma piriforme y adecuada distensión siendo sus medidas de 51 x 26mm., en longitudinal y AP. </w:t>
      </w:r>
    </w:p>
    <w:p w14:paraId="7BC26F14" w14:textId="77777777" w:rsidR="00DC55D5" w:rsidRPr="007214F8" w:rsidRDefault="00DC55D5" w:rsidP="00DC55D5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Muestra pared de espesor aumentado, mide </w:t>
      </w:r>
      <w:r>
        <w:rPr>
          <w:rFonts w:ascii="Tahoma" w:hAnsi="Tahoma" w:cs="Arial"/>
          <w:i/>
          <w:color w:val="000000"/>
          <w:sz w:val="18"/>
          <w:szCs w:val="20"/>
        </w:rPr>
        <w:t>5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mm., de espesor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con edema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despertando dolor en la maniobra de eco pulsión actualmente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(Eco Murphy +)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0F8BA58F" w14:textId="6D2C4E6B" w:rsidR="00AD3D8C" w:rsidRPr="00375216" w:rsidRDefault="00DC55D5" w:rsidP="00DC55D5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Al interior muestra múltiples imágenes hiperecogénicas con sombra sónica posterior siendo la mayor de 12mm., de diámetro. Colédoco proximal mide 3mm., de diámetro AP.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1E291079"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TICA DIFUSA </w:t>
      </w:r>
      <w:r w:rsidR="0041004D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41004D">
        <w:rPr>
          <w:rFonts w:ascii="Tahoma" w:hAnsi="Tahoma" w:cs="Arial"/>
          <w:i/>
          <w:color w:val="000000"/>
          <w:sz w:val="18"/>
          <w:szCs w:val="20"/>
        </w:rPr>
        <w:t>I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I).</w:t>
      </w:r>
    </w:p>
    <w:p w14:paraId="4EF2D419" w14:textId="54BFA23D" w:rsidR="00DC55D5" w:rsidRPr="00375216" w:rsidRDefault="00DC55D5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LITI</w:t>
      </w:r>
      <w:r>
        <w:rPr>
          <w:rFonts w:ascii="Tahoma" w:hAnsi="Tahoma" w:cs="Arial"/>
          <w:i/>
          <w:color w:val="000000"/>
          <w:sz w:val="18"/>
          <w:szCs w:val="20"/>
        </w:rPr>
        <w:t>A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SI</w:t>
      </w:r>
      <w:r>
        <w:rPr>
          <w:rFonts w:ascii="Tahoma" w:hAnsi="Tahoma" w:cs="Arial"/>
          <w:i/>
          <w:color w:val="000000"/>
          <w:sz w:val="18"/>
          <w:szCs w:val="20"/>
        </w:rPr>
        <w:t>S VESICULAR CON SIGNOS ECOGRÁFICOS DE AGUDIZACIÓN (ECO MURPHY +)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04D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B0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5D5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2023-12-29T16:56:00Z</dcterms:created>
  <dcterms:modified xsi:type="dcterms:W3CDTF">2024-01-01T18:53:00Z</dcterms:modified>
</cp:coreProperties>
</file>