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4D7" w14:textId="77777777" w:rsidR="00930DD1" w:rsidRPr="00EA71D2" w:rsidRDefault="00930DD1" w:rsidP="00C20E24">
      <w:pPr>
        <w:pStyle w:val="Ttulo"/>
        <w:rPr>
          <w:i/>
          <w:color w:val="000000"/>
        </w:rPr>
      </w:pPr>
    </w:p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715E59DC" w14:textId="77777777" w:rsidR="00D718F8" w:rsidRDefault="00D718F8" w:rsidP="00D718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BAA39B8" w14:textId="77777777" w:rsidR="00D718F8" w:rsidRDefault="00D718F8" w:rsidP="00D718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C7517CA" w14:textId="77777777" w:rsidR="00D718F8" w:rsidRDefault="00D718F8" w:rsidP="00D718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31E9952" w14:textId="77777777" w:rsidR="00D718F8" w:rsidRDefault="00D718F8" w:rsidP="00D718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08C3369B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DERECHA</w:t>
      </w:r>
      <w:r w:rsidRPr="00F230F7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44128DBC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16D42C55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4B573D8" w14:textId="77777777" w:rsidR="00190757" w:rsidRPr="00F230F7" w:rsidRDefault="00190757" w:rsidP="00190757">
      <w:pPr>
        <w:jc w:val="both"/>
        <w:rPr>
          <w:rFonts w:ascii="Tahoma" w:hAnsi="Tahoma" w:cs="Tahoma"/>
          <w:i/>
          <w:sz w:val="18"/>
          <w:szCs w:val="20"/>
        </w:rPr>
      </w:pPr>
      <w:r w:rsidRPr="00F230F7">
        <w:rPr>
          <w:rFonts w:ascii="Tahoma" w:hAnsi="Tahoma" w:cs="Tahoma"/>
          <w:i/>
          <w:sz w:val="18"/>
          <w:szCs w:val="20"/>
        </w:rPr>
        <w:t xml:space="preserve">Tejido glandular mamario </w:t>
      </w:r>
      <w:r>
        <w:rPr>
          <w:rFonts w:ascii="Tahoma" w:hAnsi="Tahoma" w:cs="Tahoma"/>
          <w:i/>
          <w:sz w:val="18"/>
          <w:szCs w:val="20"/>
        </w:rPr>
        <w:t xml:space="preserve">con patrón de tipo fibroglandular </w:t>
      </w:r>
      <w:r w:rsidRPr="00F230F7">
        <w:rPr>
          <w:rFonts w:ascii="Tahoma" w:hAnsi="Tahoma" w:cs="Tahoma"/>
          <w:i/>
          <w:sz w:val="18"/>
          <w:szCs w:val="20"/>
        </w:rPr>
        <w:t xml:space="preserve">muestra ecotextura heterogénea condicionado por la presencia de múltiples imágenes quísticas simples siendo la mayor de </w:t>
      </w:r>
      <w:r>
        <w:rPr>
          <w:rFonts w:ascii="Tahoma" w:hAnsi="Tahoma" w:cs="Tahoma"/>
          <w:i/>
          <w:sz w:val="18"/>
          <w:szCs w:val="20"/>
        </w:rPr>
        <w:t>5.5</w:t>
      </w:r>
      <w:r w:rsidRPr="00F230F7">
        <w:rPr>
          <w:rFonts w:ascii="Tahoma" w:hAnsi="Tahoma" w:cs="Tahoma"/>
          <w:i/>
          <w:sz w:val="18"/>
          <w:szCs w:val="20"/>
        </w:rPr>
        <w:t>mm., de diámetro, presentan paredes delgadas, contenido liquido homogéneo y refuerzo posterior involucrando los 4 cuadrantes.</w:t>
      </w:r>
    </w:p>
    <w:p w14:paraId="202A23CD" w14:textId="77777777" w:rsidR="00190757" w:rsidRPr="00F230F7" w:rsidRDefault="00190757" w:rsidP="00190757">
      <w:pPr>
        <w:jc w:val="both"/>
        <w:rPr>
          <w:rFonts w:ascii="Tahoma" w:hAnsi="Tahoma" w:cs="Tahoma"/>
          <w:i/>
          <w:sz w:val="18"/>
          <w:szCs w:val="20"/>
        </w:rPr>
      </w:pPr>
      <w:r w:rsidRPr="00F230F7">
        <w:rPr>
          <w:rFonts w:ascii="Tahoma" w:hAnsi="Tahoma" w:cs="Tahoma"/>
          <w:i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sz w:val="18"/>
          <w:szCs w:val="20"/>
        </w:rPr>
        <w:t>11</w:t>
      </w:r>
      <w:r w:rsidRPr="00F230F7">
        <w:rPr>
          <w:rFonts w:ascii="Tahoma" w:hAnsi="Tahoma" w:cs="Tahoma"/>
          <w:i/>
          <w:sz w:val="18"/>
          <w:szCs w:val="20"/>
        </w:rPr>
        <w:t>mm.</w:t>
      </w:r>
    </w:p>
    <w:p w14:paraId="0BAC2C65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72FC5A7" w14:textId="77777777" w:rsidR="00190757" w:rsidRPr="00F230F7" w:rsidRDefault="00190757" w:rsidP="00190757">
      <w:pPr>
        <w:widowControl w:val="0"/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En CIE h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>acia R</w:t>
      </w:r>
      <w:r>
        <w:rPr>
          <w:rFonts w:ascii="Tahoma" w:hAnsi="Tahoma" w:cs="Tahoma"/>
          <w:i/>
          <w:color w:val="000000"/>
          <w:sz w:val="18"/>
          <w:szCs w:val="20"/>
        </w:rPr>
        <w:t>7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y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>
        <w:rPr>
          <w:rFonts w:ascii="Tahoma" w:hAnsi="Tahoma" w:cs="Tahoma"/>
          <w:i/>
          <w:color w:val="000000"/>
          <w:sz w:val="18"/>
          <w:szCs w:val="20"/>
        </w:rPr>
        <w:t>20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mm., del pezón se objetiva 01 imagen nodular hipoecogénica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de bordes circunscritos y localización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intraductal de </w:t>
      </w:r>
      <w:r>
        <w:rPr>
          <w:rFonts w:ascii="Tahoma" w:hAnsi="Tahoma" w:cs="Tahoma"/>
          <w:i/>
          <w:color w:val="000000"/>
          <w:sz w:val="18"/>
          <w:szCs w:val="20"/>
        </w:rPr>
        <w:t>8.1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2.9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>mm., de diámetros mayores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2EBE82E4" w14:textId="77777777" w:rsidR="00190757" w:rsidRPr="00F230F7" w:rsidRDefault="00190757" w:rsidP="00190757">
      <w:pPr>
        <w:widowControl w:val="0"/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La codificación Doppler color y de poder evidencia aumento de señal interno laminar en relación con pedículo vascular.</w:t>
      </w:r>
    </w:p>
    <w:p w14:paraId="5DB03BE5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CF69C94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2BE1B22F" w14:textId="77777777" w:rsidR="0019075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0C7D7571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Región axilar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no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evidencia </w:t>
      </w:r>
      <w:r>
        <w:rPr>
          <w:rFonts w:ascii="Tahoma" w:hAnsi="Tahoma" w:cs="Tahoma"/>
          <w:i/>
          <w:color w:val="000000"/>
          <w:sz w:val="18"/>
          <w:szCs w:val="20"/>
        </w:rPr>
        <w:t>imágenes ganglionares de tamaño aumentado.</w:t>
      </w:r>
    </w:p>
    <w:p w14:paraId="440F24A7" w14:textId="77777777" w:rsidR="00190757" w:rsidRPr="00F230F7" w:rsidRDefault="00190757" w:rsidP="00190757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</w:p>
    <w:p w14:paraId="13FDE1C7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IZQUIERDA</w:t>
      </w:r>
      <w:r w:rsidRPr="00F230F7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0DCB513C" w14:textId="77777777" w:rsidR="0019075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4BF81847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Se objetiva tejido cicatricial en CIE hacia R3 – R4 sin evidencia de lesiones focales sólidas ni quísticas.</w:t>
      </w:r>
    </w:p>
    <w:p w14:paraId="07C83F74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836E895" w14:textId="77777777" w:rsidR="00190757" w:rsidRPr="00F230F7" w:rsidRDefault="00190757" w:rsidP="00190757">
      <w:pPr>
        <w:jc w:val="both"/>
        <w:rPr>
          <w:rFonts w:ascii="Tahoma" w:hAnsi="Tahoma" w:cs="Tahoma"/>
          <w:i/>
          <w:sz w:val="18"/>
          <w:szCs w:val="20"/>
        </w:rPr>
      </w:pPr>
      <w:r w:rsidRPr="00F230F7">
        <w:rPr>
          <w:rFonts w:ascii="Tahoma" w:hAnsi="Tahoma" w:cs="Tahoma"/>
          <w:i/>
          <w:sz w:val="18"/>
          <w:szCs w:val="20"/>
        </w:rPr>
        <w:t xml:space="preserve">Tejido glandular mamario </w:t>
      </w:r>
      <w:r>
        <w:rPr>
          <w:rFonts w:ascii="Tahoma" w:hAnsi="Tahoma" w:cs="Tahoma"/>
          <w:i/>
          <w:sz w:val="18"/>
          <w:szCs w:val="20"/>
        </w:rPr>
        <w:t xml:space="preserve">con patrón de tipo fibroglandular </w:t>
      </w:r>
      <w:r w:rsidRPr="00F230F7">
        <w:rPr>
          <w:rFonts w:ascii="Tahoma" w:hAnsi="Tahoma" w:cs="Tahoma"/>
          <w:i/>
          <w:sz w:val="18"/>
          <w:szCs w:val="20"/>
        </w:rPr>
        <w:t xml:space="preserve">muestra ecotextura heterogénea condicionado por la presencia de múltiples imágenes quísticas simples siendo la mayor de </w:t>
      </w:r>
      <w:r>
        <w:rPr>
          <w:rFonts w:ascii="Tahoma" w:hAnsi="Tahoma" w:cs="Tahoma"/>
          <w:i/>
          <w:sz w:val="18"/>
          <w:szCs w:val="20"/>
        </w:rPr>
        <w:t>6.6</w:t>
      </w:r>
      <w:r w:rsidRPr="00F230F7">
        <w:rPr>
          <w:rFonts w:ascii="Tahoma" w:hAnsi="Tahoma" w:cs="Tahoma"/>
          <w:i/>
          <w:sz w:val="18"/>
          <w:szCs w:val="20"/>
        </w:rPr>
        <w:t>mm., de diámetro, presentan paredes delgadas, contenido liquido homogéneo y refuerzo posterior involucrando los 4 cuadrantes.</w:t>
      </w:r>
    </w:p>
    <w:p w14:paraId="5D8572BF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sz w:val="18"/>
          <w:szCs w:val="20"/>
        </w:rPr>
        <w:t>11</w:t>
      </w:r>
      <w:r w:rsidRPr="00F230F7">
        <w:rPr>
          <w:rFonts w:ascii="Tahoma" w:hAnsi="Tahoma" w:cs="Tahoma"/>
          <w:i/>
          <w:sz w:val="18"/>
          <w:szCs w:val="20"/>
        </w:rPr>
        <w:t>mm.</w:t>
      </w:r>
    </w:p>
    <w:p w14:paraId="638FE253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1EA7B4C" w14:textId="77777777" w:rsidR="0019075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3B88D0BA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0ABC394E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Región axilar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no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evidencia </w:t>
      </w:r>
      <w:r>
        <w:rPr>
          <w:rFonts w:ascii="Tahoma" w:hAnsi="Tahoma" w:cs="Tahoma"/>
          <w:i/>
          <w:color w:val="000000"/>
          <w:sz w:val="18"/>
          <w:szCs w:val="20"/>
        </w:rPr>
        <w:t>imágenes ganglionares de tamaño aumentado.</w:t>
      </w:r>
    </w:p>
    <w:p w14:paraId="71EF0E9E" w14:textId="77777777" w:rsidR="00190757" w:rsidRPr="00F230F7" w:rsidRDefault="00190757" w:rsidP="00190757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</w:p>
    <w:p w14:paraId="7B10C6D2" w14:textId="77777777" w:rsidR="00190757" w:rsidRPr="00F230F7" w:rsidRDefault="00190757" w:rsidP="00190757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 w:rsidRPr="00F230F7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Pr="00F230F7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:</w:t>
      </w:r>
    </w:p>
    <w:p w14:paraId="4DA85735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E265BE7" w14:textId="77777777" w:rsidR="00190757" w:rsidRPr="00F230F7" w:rsidRDefault="00190757" w:rsidP="00190757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IMAGEN NODULAR INTRADUCTAL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DE BORDES CIRCUNSCRITOS Y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 xml:space="preserve">CON PEDÍCULO VASCULAR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INVOLUCRANDO CIE DE LA </w:t>
      </w:r>
      <w:r w:rsidRPr="00F230F7">
        <w:rPr>
          <w:rFonts w:ascii="Tahoma" w:hAnsi="Tahoma" w:cs="Tahoma"/>
          <w:i/>
          <w:color w:val="000000"/>
          <w:sz w:val="18"/>
          <w:szCs w:val="20"/>
        </w:rPr>
        <w:t>MAMA DERECHA.</w:t>
      </w:r>
    </w:p>
    <w:p w14:paraId="30A089FB" w14:textId="77777777" w:rsidR="00190757" w:rsidRPr="00F230F7" w:rsidRDefault="00190757" w:rsidP="00190757">
      <w:pPr>
        <w:numPr>
          <w:ilvl w:val="1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BIRADS: 4a</w:t>
      </w:r>
    </w:p>
    <w:p w14:paraId="19DA2C97" w14:textId="77777777" w:rsidR="00190757" w:rsidRPr="00F230F7" w:rsidRDefault="00190757" w:rsidP="00190757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QUISTES SIMPLES EN AMBAS MAMAS.</w:t>
      </w:r>
    </w:p>
    <w:p w14:paraId="61ED5E7E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A4EE61B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S/S CORRELACIONAR CON DATOS CLÍNICOS Y CONTROL POSTERIOR.</w:t>
      </w:r>
    </w:p>
    <w:p w14:paraId="6FDE8DF2" w14:textId="77777777" w:rsidR="00190757" w:rsidRPr="00F230F7" w:rsidRDefault="00190757" w:rsidP="0019075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7F86B95" w14:textId="77777777" w:rsidR="00190757" w:rsidRPr="00F230F7" w:rsidRDefault="00190757" w:rsidP="00190757">
      <w:pPr>
        <w:jc w:val="both"/>
        <w:rPr>
          <w:rFonts w:ascii="Tahoma" w:hAnsi="Tahoma"/>
          <w:i/>
          <w:sz w:val="18"/>
        </w:rPr>
      </w:pPr>
      <w:r w:rsidRPr="00F230F7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12466005" w14:textId="391C2BA5" w:rsidR="00050B1A" w:rsidRPr="00C60067" w:rsidRDefault="00050B1A" w:rsidP="00190757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43184"/>
    <w:multiLevelType w:val="hybridMultilevel"/>
    <w:tmpl w:val="FA1A5510"/>
    <w:lvl w:ilvl="0" w:tplc="1FE0423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0"/>
  </w:num>
  <w:num w:numId="2" w16cid:durableId="400760112">
    <w:abstractNumId w:val="2"/>
  </w:num>
  <w:num w:numId="3" w16cid:durableId="2016491932">
    <w:abstractNumId w:val="3"/>
  </w:num>
  <w:num w:numId="4" w16cid:durableId="2127459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90757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3CB0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8F8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2023-10-27T21:30:00Z</dcterms:created>
  <dcterms:modified xsi:type="dcterms:W3CDTF">2024-01-01T18:55:00Z</dcterms:modified>
</cp:coreProperties>
</file>