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EE02" w14:textId="77777777" w:rsidR="008B12BC" w:rsidRDefault="008B12BC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7DF4B370" w14:textId="2E34A8D0" w:rsidR="00762ABA" w:rsidRPr="00762ABA" w:rsidRDefault="00762ABA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762ABA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26DE822A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461E489A" w14:textId="77777777" w:rsidR="00B87E13" w:rsidRDefault="00B87E13" w:rsidP="00B87E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2D41DE1" w14:textId="77777777" w:rsidR="00B87E13" w:rsidRDefault="00B87E13" w:rsidP="00B87E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E8B03B9" w14:textId="77777777" w:rsidR="00B87E13" w:rsidRDefault="00B87E13" w:rsidP="00B87E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61AB8E1" w14:textId="77777777" w:rsidR="00B87E13" w:rsidRDefault="00B87E13" w:rsidP="00B87E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3D45C9C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3FACF765" w14:textId="100625E1" w:rsidR="00762ABA" w:rsidRPr="00762ABA" w:rsidRDefault="00762ABA" w:rsidP="00762ABA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762ABA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762ABA">
        <w:rPr>
          <w:rFonts w:ascii="Arial Black" w:hAnsi="Arial Black"/>
          <w:i/>
          <w:sz w:val="18"/>
          <w:szCs w:val="20"/>
        </w:rPr>
        <w:t>UTILIZANDO TRANSDUCTOR LINEAL DE ALTA FRECUENCIA DE 4.0 – 14.0 MHz PARA LA EXPLORACION DEL</w:t>
      </w:r>
      <w:r w:rsidR="00EE597F">
        <w:rPr>
          <w:rFonts w:ascii="Arial Black" w:hAnsi="Arial Black"/>
          <w:i/>
          <w:sz w:val="18"/>
          <w:szCs w:val="20"/>
        </w:rPr>
        <w:t xml:space="preserve"> </w:t>
      </w:r>
      <w:r w:rsidR="00612BFB">
        <w:rPr>
          <w:rFonts w:ascii="Arial Black" w:hAnsi="Arial Black"/>
          <w:i/>
          <w:sz w:val="18"/>
          <w:szCs w:val="20"/>
        </w:rPr>
        <w:t>TOBILLO</w:t>
      </w:r>
      <w:r w:rsidR="00EE597F">
        <w:rPr>
          <w:rFonts w:ascii="Arial Black" w:hAnsi="Arial Black"/>
          <w:i/>
          <w:sz w:val="18"/>
          <w:szCs w:val="20"/>
        </w:rPr>
        <w:t xml:space="preserve">, </w:t>
      </w:r>
      <w:r w:rsidRPr="00762ABA">
        <w:rPr>
          <w:rFonts w:ascii="Arial Black" w:hAnsi="Arial Black"/>
          <w:i/>
          <w:sz w:val="18"/>
          <w:szCs w:val="20"/>
        </w:rPr>
        <w:t>MUESTRA:</w:t>
      </w:r>
    </w:p>
    <w:p w14:paraId="699BA792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56E7D8C4" w14:textId="77777777" w:rsidR="00612BFB" w:rsidRPr="00DC14AE" w:rsidRDefault="00612BFB" w:rsidP="00612BFB">
      <w:pPr>
        <w:widowControl w:val="0"/>
        <w:jc w:val="both"/>
        <w:rPr>
          <w:rFonts w:ascii="Tahoma" w:hAnsi="Tahoma"/>
          <w:b/>
          <w:i/>
          <w:sz w:val="18"/>
        </w:rPr>
      </w:pPr>
      <w:r w:rsidRPr="00DC14AE">
        <w:rPr>
          <w:rFonts w:ascii="Tahoma" w:hAnsi="Tahoma"/>
          <w:b/>
          <w:i/>
          <w:sz w:val="18"/>
        </w:rPr>
        <w:t>Exploración anterior:</w:t>
      </w:r>
    </w:p>
    <w:p w14:paraId="1773C19B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 xml:space="preserve">Fosa articular anterior tibioastragalina </w:t>
      </w:r>
      <w:r>
        <w:rPr>
          <w:rFonts w:ascii="Tahoma" w:hAnsi="Tahoma"/>
          <w:i/>
          <w:sz w:val="18"/>
        </w:rPr>
        <w:t xml:space="preserve">no </w:t>
      </w:r>
      <w:r w:rsidRPr="00DC14AE">
        <w:rPr>
          <w:rFonts w:ascii="Tahoma" w:hAnsi="Tahoma"/>
          <w:i/>
          <w:sz w:val="18"/>
        </w:rPr>
        <w:t>muestra líquido libre.</w:t>
      </w:r>
    </w:p>
    <w:p w14:paraId="4ED70816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Cartílago hialino articular del astrágalo conservado.</w:t>
      </w:r>
    </w:p>
    <w:p w14:paraId="2A5E1759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Tendón del M. Tibial anterior, del M. Extensor largo del 1er dedo y del M. Extensor común de los dedos del pie muestran trayecto y espesor conservado sin evidencia de engrosamientos de la vaina sinovial.</w:t>
      </w:r>
    </w:p>
    <w:p w14:paraId="76B285A0" w14:textId="77777777" w:rsidR="00612BFB" w:rsidRPr="00DC14AE" w:rsidRDefault="00612BFB" w:rsidP="00612BFB">
      <w:pPr>
        <w:widowControl w:val="0"/>
        <w:jc w:val="both"/>
        <w:rPr>
          <w:rFonts w:ascii="Tahoma" w:hAnsi="Tahoma"/>
          <w:b/>
          <w:i/>
          <w:sz w:val="18"/>
        </w:rPr>
      </w:pPr>
    </w:p>
    <w:p w14:paraId="39BD323A" w14:textId="77777777" w:rsidR="00612BFB" w:rsidRPr="00DC14AE" w:rsidRDefault="00612BFB" w:rsidP="00612BFB">
      <w:pPr>
        <w:widowControl w:val="0"/>
        <w:jc w:val="both"/>
        <w:rPr>
          <w:rFonts w:ascii="Tahoma" w:hAnsi="Tahoma"/>
          <w:b/>
          <w:i/>
          <w:sz w:val="18"/>
        </w:rPr>
      </w:pPr>
      <w:r w:rsidRPr="00DC14AE">
        <w:rPr>
          <w:rFonts w:ascii="Tahoma" w:hAnsi="Tahoma"/>
          <w:b/>
          <w:i/>
          <w:sz w:val="18"/>
        </w:rPr>
        <w:t>Exploración lateral (externo):</w:t>
      </w:r>
    </w:p>
    <w:p w14:paraId="2A3CB283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Tendón Peronéo Lateral, porción larga y corta muestran ecotextura homogénea sin evidencia de engrosamientos tendinosos ni de la vaina sinovial.</w:t>
      </w:r>
    </w:p>
    <w:p w14:paraId="75992474" w14:textId="77777777" w:rsidR="00612BFB" w:rsidRDefault="00612BFB" w:rsidP="00612BFB">
      <w:pPr>
        <w:widowControl w:val="0"/>
        <w:numPr>
          <w:ilvl w:val="0"/>
          <w:numId w:val="9"/>
        </w:numPr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Se objetiva engrosamiento del ligamento peron</w:t>
      </w:r>
      <w:r>
        <w:rPr>
          <w:rFonts w:ascii="Tahoma" w:hAnsi="Tahoma"/>
          <w:i/>
          <w:sz w:val="18"/>
        </w:rPr>
        <w:t>é</w:t>
      </w:r>
      <w:r w:rsidRPr="00DC14AE">
        <w:rPr>
          <w:rFonts w:ascii="Tahoma" w:hAnsi="Tahoma"/>
          <w:i/>
          <w:sz w:val="18"/>
        </w:rPr>
        <w:t>o</w:t>
      </w:r>
      <w:r>
        <w:rPr>
          <w:rFonts w:ascii="Tahoma" w:hAnsi="Tahoma"/>
          <w:i/>
          <w:sz w:val="18"/>
        </w:rPr>
        <w:t xml:space="preserve"> – calcáneo visualizándose múltiples focos hipoecogénicos </w:t>
      </w:r>
      <w:r w:rsidRPr="00DC14AE">
        <w:rPr>
          <w:rFonts w:ascii="Tahoma" w:hAnsi="Tahoma"/>
          <w:i/>
          <w:sz w:val="18"/>
        </w:rPr>
        <w:t xml:space="preserve">a nivel del su porción cercana al </w:t>
      </w:r>
      <w:r>
        <w:rPr>
          <w:rFonts w:ascii="Tahoma" w:hAnsi="Tahoma"/>
          <w:i/>
          <w:sz w:val="18"/>
        </w:rPr>
        <w:t>calcáneo</w:t>
      </w:r>
      <w:r w:rsidRPr="00DC14AE">
        <w:rPr>
          <w:rFonts w:ascii="Tahoma" w:hAnsi="Tahoma"/>
          <w:i/>
          <w:sz w:val="18"/>
        </w:rPr>
        <w:t>.</w:t>
      </w:r>
    </w:p>
    <w:p w14:paraId="0F186051" w14:textId="77777777" w:rsidR="00612BFB" w:rsidRPr="00DC14AE" w:rsidRDefault="00612BFB" w:rsidP="00612BFB">
      <w:pPr>
        <w:widowControl w:val="0"/>
        <w:numPr>
          <w:ilvl w:val="0"/>
          <w:numId w:val="9"/>
        </w:numPr>
        <w:jc w:val="both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Se asocia a líquido libre periarticular con finos ecos internos involucrando </w:t>
      </w:r>
      <w:r w:rsidRPr="00DC14AE">
        <w:rPr>
          <w:rFonts w:ascii="Tahoma" w:hAnsi="Tahoma"/>
          <w:i/>
          <w:sz w:val="18"/>
        </w:rPr>
        <w:t>compartimento lateral</w:t>
      </w:r>
      <w:r>
        <w:rPr>
          <w:rFonts w:ascii="Tahoma" w:hAnsi="Tahoma"/>
          <w:i/>
          <w:sz w:val="18"/>
        </w:rPr>
        <w:t xml:space="preserve"> y posterior</w:t>
      </w:r>
      <w:r w:rsidRPr="00DC14AE">
        <w:rPr>
          <w:rFonts w:ascii="Tahoma" w:hAnsi="Tahoma"/>
          <w:i/>
          <w:sz w:val="18"/>
        </w:rPr>
        <w:t>.</w:t>
      </w:r>
    </w:p>
    <w:p w14:paraId="3533C5BD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</w:p>
    <w:p w14:paraId="1E35B3FC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Los ligamentos peronéo – astragalino y </w:t>
      </w:r>
      <w:r w:rsidRPr="00DC14AE">
        <w:rPr>
          <w:rFonts w:ascii="Tahoma" w:hAnsi="Tahoma"/>
          <w:i/>
          <w:sz w:val="18"/>
        </w:rPr>
        <w:t>tibio</w:t>
      </w:r>
      <w:r>
        <w:rPr>
          <w:rFonts w:ascii="Tahoma" w:hAnsi="Tahoma"/>
          <w:i/>
          <w:sz w:val="18"/>
        </w:rPr>
        <w:t xml:space="preserve"> – </w:t>
      </w:r>
      <w:r w:rsidRPr="00DC14AE">
        <w:rPr>
          <w:rFonts w:ascii="Tahoma" w:hAnsi="Tahoma"/>
          <w:i/>
          <w:sz w:val="18"/>
        </w:rPr>
        <w:t>per</w:t>
      </w:r>
      <w:r>
        <w:rPr>
          <w:rFonts w:ascii="Tahoma" w:hAnsi="Tahoma"/>
          <w:i/>
          <w:sz w:val="18"/>
        </w:rPr>
        <w:t>o</w:t>
      </w:r>
      <w:r w:rsidRPr="00DC14AE">
        <w:rPr>
          <w:rFonts w:ascii="Tahoma" w:hAnsi="Tahoma"/>
          <w:i/>
          <w:sz w:val="18"/>
        </w:rPr>
        <w:t>n</w:t>
      </w:r>
      <w:r>
        <w:rPr>
          <w:rFonts w:ascii="Tahoma" w:hAnsi="Tahoma"/>
          <w:i/>
          <w:sz w:val="18"/>
        </w:rPr>
        <w:t>é</w:t>
      </w:r>
      <w:r w:rsidRPr="00DC14AE">
        <w:rPr>
          <w:rFonts w:ascii="Tahoma" w:hAnsi="Tahoma"/>
          <w:i/>
          <w:sz w:val="18"/>
        </w:rPr>
        <w:t>o anterior muestran espesor y ecogenicidad conservada.</w:t>
      </w:r>
    </w:p>
    <w:p w14:paraId="0D46999A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 xml:space="preserve">Aspecto sonográfico conservado de la cortical del maleolo peronéo. </w:t>
      </w:r>
    </w:p>
    <w:p w14:paraId="687F4E42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</w:p>
    <w:p w14:paraId="76EA2559" w14:textId="77777777" w:rsidR="00612BFB" w:rsidRPr="00DC14AE" w:rsidRDefault="00612BFB" w:rsidP="00612BFB">
      <w:pPr>
        <w:widowControl w:val="0"/>
        <w:jc w:val="both"/>
        <w:rPr>
          <w:rFonts w:ascii="Tahoma" w:hAnsi="Tahoma"/>
          <w:b/>
          <w:i/>
          <w:sz w:val="18"/>
        </w:rPr>
      </w:pPr>
      <w:r w:rsidRPr="00DC14AE">
        <w:rPr>
          <w:rFonts w:ascii="Tahoma" w:hAnsi="Tahoma"/>
          <w:b/>
          <w:i/>
          <w:sz w:val="18"/>
        </w:rPr>
        <w:t>Exploración Medial (interno):</w:t>
      </w:r>
    </w:p>
    <w:p w14:paraId="0FA7AC57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Tendón del M. Tibial posterior muestra ecotextura homogénea sin evidencia de engrosamiento tendinoso ni de la vaina sinovial.</w:t>
      </w:r>
    </w:p>
    <w:p w14:paraId="2E8B3363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Tendón del  flexor común de los dedos del pie muestra espesor y ecogenicidad conservada.</w:t>
      </w:r>
    </w:p>
    <w:p w14:paraId="2D3F3622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Ligamento Deltoideo de espesor y ecogenicidad conservado.</w:t>
      </w:r>
    </w:p>
    <w:p w14:paraId="6D0C6FAB" w14:textId="77777777" w:rsidR="00612BFB" w:rsidRPr="00DC14AE" w:rsidRDefault="00612BFB" w:rsidP="00612BFB">
      <w:pPr>
        <w:widowControl w:val="0"/>
        <w:jc w:val="both"/>
        <w:rPr>
          <w:rFonts w:ascii="Tahoma" w:hAnsi="Tahoma"/>
          <w:i/>
          <w:sz w:val="18"/>
        </w:rPr>
      </w:pPr>
      <w:r w:rsidRPr="00DC14AE">
        <w:rPr>
          <w:rFonts w:ascii="Tahoma" w:hAnsi="Tahoma"/>
          <w:i/>
          <w:sz w:val="18"/>
        </w:rPr>
        <w:t>No se evidencian imágenes de colección en compartimiento medial del tobillo.</w:t>
      </w:r>
    </w:p>
    <w:p w14:paraId="1124F19A" w14:textId="77777777" w:rsidR="00612BFB" w:rsidRDefault="00612BFB" w:rsidP="00612BF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</w:p>
    <w:p w14:paraId="51556BCC" w14:textId="77777777" w:rsidR="00612BFB" w:rsidRPr="00DC14AE" w:rsidRDefault="00612BFB" w:rsidP="00612BFB">
      <w:pPr>
        <w:widowControl w:val="0"/>
        <w:jc w:val="both"/>
        <w:rPr>
          <w:rFonts w:ascii="Tahoma" w:hAnsi="Tahoma"/>
          <w:b/>
          <w:i/>
          <w:sz w:val="18"/>
        </w:rPr>
      </w:pPr>
      <w:r w:rsidRPr="00DC14AE">
        <w:rPr>
          <w:rFonts w:ascii="Tahoma" w:hAnsi="Tahoma"/>
          <w:b/>
          <w:i/>
          <w:sz w:val="18"/>
        </w:rPr>
        <w:t>Exploración Posterior:</w:t>
      </w:r>
    </w:p>
    <w:p w14:paraId="55155C8E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DC14AE">
        <w:rPr>
          <w:rFonts w:ascii="Tahoma" w:hAnsi="Tahoma" w:cs="Tahoma"/>
          <w:i/>
          <w:noProof/>
          <w:sz w:val="18"/>
          <w:szCs w:val="20"/>
        </w:rPr>
        <w:t xml:space="preserve">Ecotextura homogénea del tendón de Aquiles sin evidencia de pérdida de la continuidad de las fibras y/o disrupción, mide </w:t>
      </w:r>
      <w:r>
        <w:rPr>
          <w:rFonts w:ascii="Tahoma" w:hAnsi="Tahoma" w:cs="Tahoma"/>
          <w:i/>
          <w:noProof/>
          <w:sz w:val="18"/>
          <w:szCs w:val="20"/>
        </w:rPr>
        <w:t>4</w:t>
      </w:r>
      <w:r w:rsidRPr="00DC14AE">
        <w:rPr>
          <w:rFonts w:ascii="Tahoma" w:hAnsi="Tahoma" w:cs="Tahoma"/>
          <w:i/>
          <w:noProof/>
          <w:sz w:val="18"/>
          <w:szCs w:val="20"/>
        </w:rPr>
        <w:t>mm de espesor a 4cm de la inserción.</w:t>
      </w:r>
    </w:p>
    <w:p w14:paraId="2F8C9F8F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DC14AE">
        <w:rPr>
          <w:rFonts w:ascii="Tahoma" w:hAnsi="Tahoma" w:cs="Tahoma"/>
          <w:i/>
          <w:noProof/>
          <w:sz w:val="18"/>
          <w:szCs w:val="20"/>
        </w:rPr>
        <w:t>La porción distal del tendón de Aquiles muestra ecotextura homogénea, zona de inserción conservada, fibrocartílago de ecotextura y conformación habitual.</w:t>
      </w:r>
    </w:p>
    <w:p w14:paraId="40D200F9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14:paraId="537C29FF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DC14AE">
        <w:rPr>
          <w:rFonts w:ascii="Tahoma" w:hAnsi="Tahoma" w:cs="Tahoma"/>
          <w:i/>
          <w:noProof/>
          <w:sz w:val="18"/>
          <w:szCs w:val="20"/>
        </w:rPr>
        <w:t>Se evidencia engrosamiento laminar de la bursa retrocalcanea</w:t>
      </w:r>
      <w:r>
        <w:rPr>
          <w:rFonts w:ascii="Tahoma" w:hAnsi="Tahoma" w:cs="Tahoma"/>
          <w:i/>
          <w:noProof/>
          <w:sz w:val="18"/>
          <w:szCs w:val="20"/>
        </w:rPr>
        <w:t xml:space="preserve"> y/o subtendinosa</w:t>
      </w:r>
      <w:r w:rsidRPr="00DC14AE">
        <w:rPr>
          <w:rFonts w:ascii="Tahoma" w:hAnsi="Tahoma" w:cs="Tahoma"/>
          <w:i/>
          <w:noProof/>
          <w:sz w:val="18"/>
          <w:szCs w:val="20"/>
        </w:rPr>
        <w:t>.</w:t>
      </w:r>
    </w:p>
    <w:p w14:paraId="5D63F7CC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DC14AE">
        <w:rPr>
          <w:rFonts w:ascii="Tahoma" w:hAnsi="Tahoma" w:cs="Tahoma"/>
          <w:i/>
          <w:noProof/>
          <w:sz w:val="18"/>
          <w:szCs w:val="20"/>
        </w:rPr>
        <w:t>Grasa de kager de ecogenicidad homogenea y conservada.</w:t>
      </w:r>
    </w:p>
    <w:p w14:paraId="5F2636FB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</w:p>
    <w:p w14:paraId="58182E46" w14:textId="77777777" w:rsidR="00612BFB" w:rsidRPr="00DC14AE" w:rsidRDefault="00612BFB" w:rsidP="00612BFB">
      <w:pPr>
        <w:widowControl w:val="0"/>
        <w:jc w:val="both"/>
        <w:rPr>
          <w:rFonts w:ascii="Arial Black" w:hAnsi="Arial Black" w:cs="Tahoma"/>
          <w:i/>
          <w:noProof/>
          <w:sz w:val="18"/>
          <w:szCs w:val="20"/>
          <w:u w:val="single"/>
        </w:rPr>
      </w:pPr>
      <w:r w:rsidRPr="00DC14AE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ECOGRÁFICOS:</w:t>
      </w:r>
    </w:p>
    <w:p w14:paraId="32B40D45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14:paraId="406DE1BD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DC14AE">
        <w:rPr>
          <w:rFonts w:ascii="Tahoma" w:hAnsi="Tahoma" w:cs="Tahoma"/>
          <w:i/>
          <w:noProof/>
          <w:sz w:val="18"/>
          <w:szCs w:val="20"/>
        </w:rPr>
        <w:t>HALLAZGOS ECOGRÁFICOS EN RELACIÓN CON ESGUINSE GRADO II INVOLUCRANDO LIGAMENTO PERON</w:t>
      </w:r>
      <w:r>
        <w:rPr>
          <w:rFonts w:ascii="Tahoma" w:hAnsi="Tahoma" w:cs="Tahoma"/>
          <w:i/>
          <w:noProof/>
          <w:sz w:val="18"/>
          <w:szCs w:val="20"/>
        </w:rPr>
        <w:t>É</w:t>
      </w:r>
      <w:r w:rsidRPr="00DC14AE">
        <w:rPr>
          <w:rFonts w:ascii="Tahoma" w:hAnsi="Tahoma" w:cs="Tahoma"/>
          <w:i/>
          <w:noProof/>
          <w:sz w:val="18"/>
          <w:szCs w:val="20"/>
        </w:rPr>
        <w:t>O</w:t>
      </w:r>
      <w:r>
        <w:rPr>
          <w:rFonts w:ascii="Tahoma" w:hAnsi="Tahoma" w:cs="Tahoma"/>
          <w:i/>
          <w:noProof/>
          <w:sz w:val="18"/>
          <w:szCs w:val="20"/>
        </w:rPr>
        <w:t xml:space="preserve"> – CALCANEO </w:t>
      </w:r>
      <w:r w:rsidRPr="00DC14AE">
        <w:rPr>
          <w:rFonts w:ascii="Tahoma" w:hAnsi="Tahoma" w:cs="Tahoma"/>
          <w:i/>
          <w:noProof/>
          <w:sz w:val="18"/>
          <w:szCs w:val="20"/>
        </w:rPr>
        <w:t xml:space="preserve">ASOCIADO A LIQUIDO LIBRE CON ECOS INTERNOS EN SUSPENSION (HEMARTROSIS) EN </w:t>
      </w:r>
      <w:r>
        <w:rPr>
          <w:rFonts w:ascii="Tahoma" w:hAnsi="Tahoma" w:cs="Tahoma"/>
          <w:i/>
          <w:noProof/>
          <w:sz w:val="18"/>
          <w:szCs w:val="20"/>
        </w:rPr>
        <w:t xml:space="preserve">COMPARTIMENTO LATERAL </w:t>
      </w:r>
      <w:r w:rsidRPr="00DC14AE">
        <w:rPr>
          <w:rFonts w:ascii="Tahoma" w:hAnsi="Tahoma" w:cs="Tahoma"/>
          <w:i/>
          <w:noProof/>
          <w:sz w:val="18"/>
          <w:szCs w:val="20"/>
        </w:rPr>
        <w:t>DEL TOBILLO DERECHO.</w:t>
      </w:r>
      <w:r>
        <w:rPr>
          <w:rFonts w:ascii="Tahoma" w:hAnsi="Tahoma" w:cs="Tahoma"/>
          <w:i/>
          <w:noProof/>
          <w:sz w:val="18"/>
          <w:szCs w:val="20"/>
        </w:rPr>
        <w:t xml:space="preserve"> </w:t>
      </w:r>
      <w:r w:rsidRPr="00DC14AE">
        <w:rPr>
          <w:rFonts w:ascii="Tahoma" w:hAnsi="Tahoma" w:cs="Tahoma"/>
          <w:i/>
          <w:noProof/>
          <w:sz w:val="18"/>
          <w:szCs w:val="20"/>
        </w:rPr>
        <w:t>BURSITIS RETROCALCANEA.</w:t>
      </w:r>
    </w:p>
    <w:p w14:paraId="5279E90C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14:paraId="29EE65F3" w14:textId="77777777" w:rsidR="00612BFB" w:rsidRPr="00DC14AE" w:rsidRDefault="00612BFB" w:rsidP="00612BFB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DC14AE">
        <w:rPr>
          <w:rFonts w:ascii="Tahoma" w:hAnsi="Tahoma" w:cs="Tahoma"/>
          <w:i/>
          <w:noProof/>
          <w:sz w:val="18"/>
          <w:szCs w:val="20"/>
        </w:rPr>
        <w:t>S/S CORRELACIONAR CON DATOS CLÍNICOS.</w:t>
      </w:r>
    </w:p>
    <w:p w14:paraId="39C9E708" w14:textId="77777777" w:rsidR="00612BFB" w:rsidRPr="00DC14AE" w:rsidRDefault="00612BFB" w:rsidP="00612BFB">
      <w:pPr>
        <w:widowControl w:val="0"/>
        <w:rPr>
          <w:rFonts w:ascii="Tahoma" w:hAnsi="Tahoma" w:cs="Tahoma"/>
          <w:i/>
          <w:noProof/>
          <w:sz w:val="18"/>
          <w:szCs w:val="20"/>
        </w:rPr>
      </w:pPr>
    </w:p>
    <w:p w14:paraId="11B0E9E3" w14:textId="77777777" w:rsidR="00612BFB" w:rsidRPr="00DC14AE" w:rsidRDefault="00612BFB" w:rsidP="00612BFB">
      <w:pPr>
        <w:widowControl w:val="0"/>
        <w:rPr>
          <w:rFonts w:ascii="Tahoma" w:hAnsi="Tahoma" w:cs="Tahoma"/>
          <w:i/>
          <w:noProof/>
          <w:sz w:val="18"/>
          <w:szCs w:val="20"/>
        </w:rPr>
      </w:pPr>
      <w:r w:rsidRPr="00DC14AE">
        <w:rPr>
          <w:rFonts w:ascii="Tahoma" w:hAnsi="Tahoma" w:cs="Tahoma"/>
          <w:i/>
          <w:noProof/>
          <w:sz w:val="18"/>
          <w:szCs w:val="20"/>
        </w:rPr>
        <w:t>Atentamente,</w:t>
      </w:r>
    </w:p>
    <w:p w14:paraId="4B0963FC" w14:textId="77777777" w:rsidR="00612BFB" w:rsidRPr="00DC14AE" w:rsidRDefault="00612BFB" w:rsidP="00612BFB">
      <w:pPr>
        <w:jc w:val="both"/>
        <w:rPr>
          <w:rFonts w:ascii="Tahoma" w:hAnsi="Tahoma"/>
          <w:i/>
          <w:sz w:val="18"/>
          <w:szCs w:val="18"/>
        </w:rPr>
      </w:pPr>
    </w:p>
    <w:p w14:paraId="5B7077F6" w14:textId="42FE7145" w:rsidR="00D904FE" w:rsidRPr="00762ABA" w:rsidRDefault="00D904FE" w:rsidP="00612BFB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sectPr w:rsidR="00D904FE" w:rsidRPr="00762ABA" w:rsidSect="00EE597F">
      <w:pgSz w:w="12240" w:h="15840"/>
      <w:pgMar w:top="99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2418"/>
    <w:multiLevelType w:val="hybridMultilevel"/>
    <w:tmpl w:val="A190946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37963"/>
    <w:multiLevelType w:val="hybridMultilevel"/>
    <w:tmpl w:val="C7FEDAF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C2323"/>
    <w:multiLevelType w:val="hybridMultilevel"/>
    <w:tmpl w:val="8C005B40"/>
    <w:lvl w:ilvl="0" w:tplc="F8C40A2C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6698878">
    <w:abstractNumId w:val="4"/>
  </w:num>
  <w:num w:numId="2" w16cid:durableId="1568032471">
    <w:abstractNumId w:val="7"/>
  </w:num>
  <w:num w:numId="3" w16cid:durableId="1572960226">
    <w:abstractNumId w:val="3"/>
  </w:num>
  <w:num w:numId="4" w16cid:durableId="684869724">
    <w:abstractNumId w:val="1"/>
  </w:num>
  <w:num w:numId="5" w16cid:durableId="1029256697">
    <w:abstractNumId w:val="0"/>
  </w:num>
  <w:num w:numId="6" w16cid:durableId="592318290">
    <w:abstractNumId w:val="5"/>
  </w:num>
  <w:num w:numId="7" w16cid:durableId="1751999006">
    <w:abstractNumId w:val="8"/>
  </w:num>
  <w:num w:numId="8" w16cid:durableId="1814984421">
    <w:abstractNumId w:val="2"/>
  </w:num>
  <w:num w:numId="9" w16cid:durableId="1885215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2BFB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AB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2BC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87E13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597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EB533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2023-10-27T20:59:00Z</dcterms:created>
  <dcterms:modified xsi:type="dcterms:W3CDTF">2024-01-01T18:57:00Z</dcterms:modified>
</cp:coreProperties>
</file>