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4EF" w14:textId="4F4DFBAF" w:rsidR="007B5821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4639DDD7" w14:textId="77777777" w:rsidR="00D21874" w:rsidRPr="00942AEF" w:rsidRDefault="00D21874" w:rsidP="005B219F">
      <w:pPr>
        <w:pStyle w:val="Ttulo"/>
        <w:rPr>
          <w:rFonts w:ascii="Arial Black" w:hAnsi="Arial Black"/>
          <w:i/>
          <w:u w:val="single"/>
        </w:rPr>
      </w:pPr>
    </w:p>
    <w:p w14:paraId="4A0E728B" w14:textId="77777777" w:rsidR="00D21874" w:rsidRDefault="00D21874" w:rsidP="00D2187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74D27EC" w14:textId="77777777" w:rsidR="00D21874" w:rsidRDefault="00D21874" w:rsidP="00D2187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6015203" w14:textId="77777777" w:rsidR="00D21874" w:rsidRDefault="00D21874" w:rsidP="00D2187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BB42FA9" w14:textId="77777777" w:rsidR="00D21874" w:rsidRDefault="00D21874" w:rsidP="00D2187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1440F5BD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b/>
          <w:i/>
          <w:noProof/>
          <w:sz w:val="18"/>
          <w:szCs w:val="20"/>
          <w:u w:val="single"/>
        </w:rPr>
        <w:t>VEJIGA:</w:t>
      </w:r>
      <w:r w:rsidRPr="00CC4697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1B20124E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14:paraId="386AE81E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>Luz vesical muestra contenido líquido homogéneo sin evidencia de imágenes litiásicas.</w:t>
      </w:r>
    </w:p>
    <w:p w14:paraId="7857A00F" w14:textId="77777777" w:rsidR="00164C2E" w:rsidRPr="00CC4697" w:rsidRDefault="00164C2E" w:rsidP="00164C2E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54A4657F" w14:textId="77777777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8"/>
          <w:szCs w:val="20"/>
        </w:rPr>
        <w:t>385</w:t>
      </w:r>
      <w:r w:rsidRPr="00CC4697">
        <w:rPr>
          <w:rFonts w:ascii="Tahoma" w:hAnsi="Tahoma" w:cs="Arial"/>
          <w:i/>
          <w:noProof/>
          <w:sz w:val="18"/>
          <w:szCs w:val="20"/>
        </w:rPr>
        <w:t>cc. (Tolerado por el paciente)</w:t>
      </w:r>
    </w:p>
    <w:p w14:paraId="41D69154" w14:textId="012E81A2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Volumen post miccional: </w:t>
      </w:r>
      <w:r w:rsidR="00A77217">
        <w:rPr>
          <w:rFonts w:ascii="Tahoma" w:hAnsi="Tahoma" w:cs="Arial"/>
          <w:i/>
          <w:noProof/>
          <w:sz w:val="18"/>
          <w:szCs w:val="20"/>
        </w:rPr>
        <w:t>150</w:t>
      </w:r>
      <w:r w:rsidRPr="00CC4697">
        <w:rPr>
          <w:rFonts w:ascii="Tahoma" w:hAnsi="Tahoma" w:cs="Arial"/>
          <w:i/>
          <w:noProof/>
          <w:sz w:val="18"/>
          <w:szCs w:val="20"/>
        </w:rPr>
        <w:t>cc.</w:t>
      </w:r>
    </w:p>
    <w:p w14:paraId="5F921556" w14:textId="4DCAE786" w:rsidR="00164C2E" w:rsidRPr="00CC4697" w:rsidRDefault="00164C2E" w:rsidP="00164C2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CC4697">
        <w:rPr>
          <w:rFonts w:ascii="Tahoma" w:hAnsi="Tahoma" w:cs="Arial"/>
          <w:i/>
          <w:noProof/>
          <w:sz w:val="18"/>
          <w:szCs w:val="20"/>
        </w:rPr>
        <w:t xml:space="preserve">Residuo vesical: </w:t>
      </w:r>
      <w:r w:rsidR="00A77217">
        <w:rPr>
          <w:rFonts w:ascii="Tahoma" w:hAnsi="Tahoma" w:cs="Arial"/>
          <w:i/>
          <w:noProof/>
          <w:sz w:val="18"/>
          <w:szCs w:val="20"/>
        </w:rPr>
        <w:t>30</w:t>
      </w:r>
      <w:r>
        <w:rPr>
          <w:rFonts w:ascii="Tahoma" w:hAnsi="Tahoma" w:cs="Arial"/>
          <w:i/>
          <w:noProof/>
          <w:sz w:val="18"/>
          <w:szCs w:val="20"/>
        </w:rPr>
        <w:t>% (</w:t>
      </w:r>
      <w:r w:rsidRPr="00CC4697">
        <w:rPr>
          <w:rFonts w:ascii="Tahoma" w:hAnsi="Tahoma" w:cs="Arial"/>
          <w:i/>
          <w:noProof/>
          <w:sz w:val="18"/>
          <w:szCs w:val="20"/>
        </w:rPr>
        <w:t>ESCASO</w:t>
      </w:r>
      <w:r>
        <w:rPr>
          <w:rFonts w:ascii="Tahoma" w:hAnsi="Tahoma" w:cs="Arial"/>
          <w:i/>
          <w:noProof/>
          <w:sz w:val="18"/>
          <w:szCs w:val="20"/>
        </w:rPr>
        <w:t>)</w:t>
      </w:r>
    </w:p>
    <w:p w14:paraId="02496B93" w14:textId="77777777" w:rsidR="00164C2E" w:rsidRPr="00CC4697" w:rsidRDefault="00164C2E" w:rsidP="00164C2E">
      <w:pPr>
        <w:rPr>
          <w:rFonts w:ascii="Tahoma" w:hAnsi="Tahoma" w:cs="Arial"/>
          <w:i/>
          <w:sz w:val="18"/>
          <w:szCs w:val="22"/>
        </w:rPr>
      </w:pPr>
    </w:p>
    <w:p w14:paraId="512DE8F6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b/>
          <w:i/>
          <w:sz w:val="18"/>
          <w:szCs w:val="22"/>
          <w:u w:val="single"/>
        </w:rPr>
        <w:t>PRÓSTATA</w:t>
      </w:r>
      <w:r w:rsidRPr="00177BE0">
        <w:rPr>
          <w:rFonts w:ascii="Tahoma" w:hAnsi="Tahoma" w:cs="Arial"/>
          <w:b/>
          <w:i/>
          <w:sz w:val="18"/>
          <w:szCs w:val="22"/>
        </w:rPr>
        <w:t>:</w:t>
      </w:r>
      <w:r w:rsidRPr="00177BE0">
        <w:rPr>
          <w:rFonts w:ascii="Tahoma" w:hAnsi="Tahoma" w:cs="Arial"/>
          <w:i/>
          <w:sz w:val="18"/>
          <w:szCs w:val="22"/>
        </w:rPr>
        <w:t xml:space="preserve"> </w:t>
      </w:r>
    </w:p>
    <w:p w14:paraId="694F093F" w14:textId="77777777" w:rsidR="00A77217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>De volumen aumentado manteniendo adecuada delimitación de la cápsula.</w:t>
      </w:r>
    </w:p>
    <w:p w14:paraId="18229499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Se objetiva prominencia y ecotextura heterogénea de la zona transicional el cual eleve el piso vesical asociado a la presencia de 4 – 5 imágenes nodulares siendo la mayor de 14mm., de diámetro.</w:t>
      </w:r>
      <w:r w:rsidRPr="00177BE0">
        <w:rPr>
          <w:rFonts w:ascii="Tahoma" w:hAnsi="Tahoma" w:cs="Arial"/>
          <w:i/>
          <w:sz w:val="18"/>
          <w:szCs w:val="22"/>
        </w:rPr>
        <w:t xml:space="preserve"> </w:t>
      </w:r>
    </w:p>
    <w:p w14:paraId="01AB7BD7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>Presenta adecuada diferenciación de las zonas periférica</w:t>
      </w:r>
      <w:r>
        <w:rPr>
          <w:rFonts w:ascii="Tahoma" w:hAnsi="Tahoma" w:cs="Arial"/>
          <w:i/>
          <w:sz w:val="18"/>
          <w:szCs w:val="22"/>
        </w:rPr>
        <w:t xml:space="preserve"> y </w:t>
      </w:r>
      <w:r w:rsidRPr="00177BE0">
        <w:rPr>
          <w:rFonts w:ascii="Tahoma" w:hAnsi="Tahoma" w:cs="Arial"/>
          <w:i/>
          <w:sz w:val="18"/>
          <w:szCs w:val="22"/>
        </w:rPr>
        <w:t>central sin evidencia de lesiones focales sólidas, quísticas ni calcificaciones.</w:t>
      </w:r>
    </w:p>
    <w:p w14:paraId="2ABA9ACF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>Región fibromuscular anterior no muestra lesiones focales.</w:t>
      </w:r>
    </w:p>
    <w:p w14:paraId="53D1B76A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</w:p>
    <w:p w14:paraId="2F76418A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  <w:lang w:val="pt-BR"/>
        </w:rPr>
      </w:pPr>
      <w:r w:rsidRPr="00177BE0">
        <w:rPr>
          <w:rFonts w:ascii="Tahoma" w:hAnsi="Tahoma" w:cs="Arial"/>
          <w:b/>
          <w:i/>
          <w:sz w:val="18"/>
          <w:szCs w:val="22"/>
          <w:u w:val="single"/>
          <w:lang w:val="pt-BR"/>
        </w:rPr>
        <w:t>DIAMETROS</w:t>
      </w:r>
      <w:r w:rsidRPr="00177BE0">
        <w:rPr>
          <w:rFonts w:ascii="Tahoma" w:hAnsi="Tahoma" w:cs="Arial"/>
          <w:i/>
          <w:sz w:val="18"/>
          <w:szCs w:val="22"/>
          <w:lang w:val="pt-BR"/>
        </w:rPr>
        <w:t>:</w:t>
      </w:r>
    </w:p>
    <w:p w14:paraId="66BD116A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  <w:lang w:val="pt-BR"/>
        </w:rPr>
      </w:pPr>
      <w:r w:rsidRPr="00177BE0">
        <w:rPr>
          <w:rFonts w:ascii="Tahoma" w:hAnsi="Tahoma" w:cs="Arial"/>
          <w:i/>
          <w:sz w:val="18"/>
          <w:szCs w:val="22"/>
          <w:lang w:val="pt-BR"/>
        </w:rPr>
        <w:t>Longitudinal</w:t>
      </w:r>
      <w:r w:rsidRPr="00177BE0">
        <w:rPr>
          <w:rFonts w:ascii="Tahoma" w:hAnsi="Tahoma" w:cs="Arial"/>
          <w:i/>
          <w:sz w:val="18"/>
          <w:szCs w:val="22"/>
          <w:lang w:val="pt-BR"/>
        </w:rPr>
        <w:tab/>
        <w:t>:</w:t>
      </w:r>
      <w:r w:rsidRPr="00177BE0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58.7</w:t>
      </w:r>
      <w:r w:rsidRPr="00177BE0">
        <w:rPr>
          <w:rFonts w:ascii="Tahoma" w:hAnsi="Tahoma" w:cs="Arial"/>
          <w:i/>
          <w:sz w:val="18"/>
          <w:szCs w:val="22"/>
          <w:lang w:val="pt-BR"/>
        </w:rPr>
        <w:t xml:space="preserve"> mm.</w:t>
      </w:r>
      <w:r w:rsidRPr="00177BE0">
        <w:rPr>
          <w:rFonts w:ascii="Tahoma" w:hAnsi="Tahoma" w:cs="Arial"/>
          <w:i/>
          <w:sz w:val="18"/>
          <w:szCs w:val="22"/>
          <w:lang w:val="pt-BR"/>
        </w:rPr>
        <w:tab/>
      </w:r>
    </w:p>
    <w:p w14:paraId="7E51F7E1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  <w:lang w:val="pt-BR"/>
        </w:rPr>
      </w:pPr>
      <w:r w:rsidRPr="00177BE0">
        <w:rPr>
          <w:rFonts w:ascii="Tahoma" w:hAnsi="Tahoma" w:cs="Arial"/>
          <w:i/>
          <w:sz w:val="18"/>
          <w:szCs w:val="22"/>
          <w:lang w:val="pt-BR"/>
        </w:rPr>
        <w:t>Transversal</w:t>
      </w:r>
      <w:r w:rsidRPr="00177BE0">
        <w:rPr>
          <w:rFonts w:ascii="Tahoma" w:hAnsi="Tahoma" w:cs="Arial"/>
          <w:i/>
          <w:sz w:val="18"/>
          <w:szCs w:val="22"/>
          <w:lang w:val="pt-BR"/>
        </w:rPr>
        <w:tab/>
        <w:t xml:space="preserve">: </w:t>
      </w:r>
      <w:r w:rsidRPr="00177BE0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52.4</w:t>
      </w:r>
      <w:r w:rsidRPr="00177BE0">
        <w:rPr>
          <w:rFonts w:ascii="Tahoma" w:hAnsi="Tahoma" w:cs="Arial"/>
          <w:i/>
          <w:sz w:val="18"/>
          <w:szCs w:val="22"/>
          <w:lang w:val="pt-BR"/>
        </w:rPr>
        <w:t xml:space="preserve"> mm.  </w:t>
      </w:r>
    </w:p>
    <w:p w14:paraId="299F73EB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>Antero posterior</w:t>
      </w:r>
      <w:r w:rsidRPr="00177BE0">
        <w:rPr>
          <w:rFonts w:ascii="Tahoma" w:hAnsi="Tahoma" w:cs="Arial"/>
          <w:i/>
          <w:sz w:val="18"/>
          <w:szCs w:val="22"/>
        </w:rPr>
        <w:tab/>
        <w:t xml:space="preserve">: </w:t>
      </w:r>
      <w:r w:rsidRPr="00177BE0">
        <w:rPr>
          <w:rFonts w:ascii="Tahoma" w:hAnsi="Tahoma" w:cs="Arial"/>
          <w:i/>
          <w:sz w:val="18"/>
          <w:szCs w:val="22"/>
        </w:rPr>
        <w:tab/>
      </w:r>
      <w:r>
        <w:rPr>
          <w:rFonts w:ascii="Tahoma" w:hAnsi="Tahoma" w:cs="Arial"/>
          <w:i/>
          <w:sz w:val="18"/>
          <w:szCs w:val="22"/>
        </w:rPr>
        <w:t>41.0</w:t>
      </w:r>
      <w:r w:rsidRPr="00177BE0">
        <w:rPr>
          <w:rFonts w:ascii="Tahoma" w:hAnsi="Tahoma" w:cs="Arial"/>
          <w:i/>
          <w:sz w:val="18"/>
          <w:szCs w:val="22"/>
        </w:rPr>
        <w:t xml:space="preserve"> </w:t>
      </w:r>
      <w:proofErr w:type="spellStart"/>
      <w:r w:rsidRPr="00177BE0">
        <w:rPr>
          <w:rFonts w:ascii="Tahoma" w:hAnsi="Tahoma" w:cs="Arial"/>
          <w:i/>
          <w:sz w:val="18"/>
          <w:szCs w:val="22"/>
        </w:rPr>
        <w:t>mm.</w:t>
      </w:r>
      <w:proofErr w:type="spellEnd"/>
    </w:p>
    <w:p w14:paraId="652EB78A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</w:rPr>
      </w:pPr>
    </w:p>
    <w:p w14:paraId="4C4419AD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b/>
          <w:i/>
          <w:sz w:val="18"/>
          <w:szCs w:val="22"/>
        </w:rPr>
        <w:t>Volumen Prostático:</w:t>
      </w:r>
      <w:r w:rsidRPr="00177BE0">
        <w:rPr>
          <w:rFonts w:ascii="Tahoma" w:hAnsi="Tahoma" w:cs="Arial"/>
          <w:i/>
          <w:sz w:val="18"/>
          <w:szCs w:val="22"/>
        </w:rPr>
        <w:t xml:space="preserve"> </w:t>
      </w:r>
      <w:r>
        <w:rPr>
          <w:rFonts w:ascii="Tahoma" w:hAnsi="Tahoma" w:cs="Arial"/>
          <w:i/>
          <w:sz w:val="18"/>
          <w:szCs w:val="22"/>
        </w:rPr>
        <w:t>66.2</w:t>
      </w:r>
      <w:r w:rsidRPr="00177BE0">
        <w:rPr>
          <w:rFonts w:ascii="Tahoma" w:hAnsi="Tahoma" w:cs="Arial"/>
          <w:i/>
          <w:sz w:val="18"/>
          <w:szCs w:val="22"/>
        </w:rPr>
        <w:t>cc. (VN. hasta 25cc)</w:t>
      </w:r>
    </w:p>
    <w:p w14:paraId="6B99D4F1" w14:textId="77777777" w:rsidR="00A77217" w:rsidRPr="00177BE0" w:rsidRDefault="00A77217" w:rsidP="00A77217">
      <w:pPr>
        <w:rPr>
          <w:rFonts w:ascii="Tahoma" w:hAnsi="Tahoma" w:cs="Arial"/>
          <w:b/>
          <w:i/>
          <w:sz w:val="18"/>
          <w:szCs w:val="22"/>
        </w:rPr>
      </w:pPr>
    </w:p>
    <w:p w14:paraId="078B0C41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b/>
          <w:i/>
          <w:sz w:val="18"/>
          <w:szCs w:val="22"/>
          <w:u w:val="single"/>
        </w:rPr>
        <w:t>VESÍCULAS SEMINALES</w:t>
      </w:r>
      <w:r w:rsidRPr="00177BE0">
        <w:rPr>
          <w:rFonts w:ascii="Tahoma" w:hAnsi="Tahoma" w:cs="Arial"/>
          <w:b/>
          <w:i/>
          <w:sz w:val="18"/>
          <w:szCs w:val="22"/>
        </w:rPr>
        <w:t xml:space="preserve">: </w:t>
      </w:r>
      <w:r w:rsidRPr="00177BE0">
        <w:rPr>
          <w:rFonts w:ascii="Tahoma" w:hAnsi="Tahoma" w:cs="Arial"/>
          <w:i/>
          <w:sz w:val="18"/>
          <w:szCs w:val="22"/>
        </w:rPr>
        <w:t>No evidencian lesiones focales sólidas ni quísticas.</w:t>
      </w:r>
    </w:p>
    <w:p w14:paraId="7C61BFE6" w14:textId="77777777" w:rsidR="00A77217" w:rsidRPr="00177BE0" w:rsidRDefault="00A77217" w:rsidP="00A77217">
      <w:pPr>
        <w:rPr>
          <w:rFonts w:ascii="Tahoma" w:hAnsi="Tahoma" w:cs="Arial"/>
          <w:b/>
          <w:i/>
          <w:sz w:val="18"/>
          <w:szCs w:val="22"/>
        </w:rPr>
      </w:pPr>
    </w:p>
    <w:p w14:paraId="4D0BD3CA" w14:textId="77777777" w:rsidR="00A77217" w:rsidRPr="00177BE0" w:rsidRDefault="00A77217" w:rsidP="00A77217">
      <w:pPr>
        <w:rPr>
          <w:rFonts w:ascii="Tahoma" w:hAnsi="Tahoma" w:cs="Arial"/>
          <w:b/>
          <w:i/>
          <w:sz w:val="18"/>
          <w:szCs w:val="22"/>
        </w:rPr>
      </w:pPr>
    </w:p>
    <w:p w14:paraId="59C8C253" w14:textId="77777777" w:rsidR="00A77217" w:rsidRPr="00177BE0" w:rsidRDefault="00A77217" w:rsidP="00A77217">
      <w:pPr>
        <w:rPr>
          <w:rFonts w:ascii="Arial Black" w:hAnsi="Arial Black" w:cs="Arial"/>
          <w:i/>
          <w:sz w:val="18"/>
          <w:szCs w:val="22"/>
        </w:rPr>
      </w:pPr>
      <w:r w:rsidRPr="00177BE0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177BE0">
        <w:rPr>
          <w:rFonts w:ascii="Arial Black" w:hAnsi="Arial Black" w:cs="Arial"/>
          <w:i/>
          <w:sz w:val="18"/>
          <w:szCs w:val="22"/>
        </w:rPr>
        <w:t xml:space="preserve">: </w:t>
      </w:r>
    </w:p>
    <w:p w14:paraId="05D3D11C" w14:textId="77777777" w:rsidR="00A77217" w:rsidRPr="00177BE0" w:rsidRDefault="00A77217" w:rsidP="00A77217">
      <w:pPr>
        <w:rPr>
          <w:rFonts w:ascii="Tahoma" w:hAnsi="Tahoma" w:cs="Arial"/>
          <w:i/>
          <w:sz w:val="18"/>
        </w:rPr>
      </w:pPr>
    </w:p>
    <w:p w14:paraId="2A09C251" w14:textId="77777777" w:rsidR="00A77217" w:rsidRDefault="00A77217" w:rsidP="00A77217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 xml:space="preserve">CRECIMIENTO </w:t>
      </w:r>
      <w:r w:rsidRPr="00177BE0">
        <w:rPr>
          <w:rFonts w:ascii="Tahoma" w:hAnsi="Tahoma" w:cs="Arial"/>
          <w:i/>
          <w:sz w:val="18"/>
          <w:szCs w:val="22"/>
        </w:rPr>
        <w:t xml:space="preserve">DE GLÁNDULA PROSTÁTICA GRADO </w:t>
      </w:r>
      <w:r>
        <w:rPr>
          <w:rFonts w:ascii="Tahoma" w:hAnsi="Tahoma" w:cs="Arial"/>
          <w:i/>
          <w:sz w:val="18"/>
          <w:szCs w:val="22"/>
        </w:rPr>
        <w:t>II</w:t>
      </w:r>
      <w:r w:rsidRPr="00177BE0">
        <w:rPr>
          <w:rFonts w:ascii="Tahoma" w:hAnsi="Tahoma" w:cs="Arial"/>
          <w:i/>
          <w:sz w:val="18"/>
          <w:szCs w:val="22"/>
        </w:rPr>
        <w:t>I/IV</w:t>
      </w:r>
      <w:r>
        <w:rPr>
          <w:rFonts w:ascii="Tahoma" w:hAnsi="Tahoma" w:cs="Arial"/>
          <w:i/>
          <w:sz w:val="18"/>
          <w:szCs w:val="22"/>
        </w:rPr>
        <w:t>.</w:t>
      </w:r>
    </w:p>
    <w:p w14:paraId="5370582B" w14:textId="77777777" w:rsidR="00A77217" w:rsidRDefault="00A77217" w:rsidP="00A77217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PRESENCIA DE ADENOMAS EN ZONA TRANSICIONAL</w:t>
      </w:r>
      <w:r w:rsidRPr="00177BE0">
        <w:rPr>
          <w:rFonts w:ascii="Tahoma" w:hAnsi="Tahoma" w:cs="Arial"/>
          <w:i/>
          <w:sz w:val="18"/>
          <w:szCs w:val="22"/>
        </w:rPr>
        <w:t>.</w:t>
      </w:r>
    </w:p>
    <w:p w14:paraId="17F3530C" w14:textId="2F033288" w:rsidR="00A77217" w:rsidRPr="00177BE0" w:rsidRDefault="00A77217" w:rsidP="00A77217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VEJIGA ECOGRAFICAMENTE CONSERVADA.</w:t>
      </w:r>
    </w:p>
    <w:p w14:paraId="6CC5BCA3" w14:textId="77777777" w:rsidR="00A77217" w:rsidRPr="00177BE0" w:rsidRDefault="00A77217" w:rsidP="00A77217">
      <w:pPr>
        <w:numPr>
          <w:ilvl w:val="0"/>
          <w:numId w:val="15"/>
        </w:numPr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 xml:space="preserve">RESIDUO VESICAL </w:t>
      </w:r>
      <w:r>
        <w:rPr>
          <w:rFonts w:ascii="Tahoma" w:hAnsi="Tahoma" w:cs="Arial"/>
          <w:i/>
          <w:sz w:val="18"/>
          <w:szCs w:val="22"/>
        </w:rPr>
        <w:t>DEL 30% - CONSIDERAR: RETENCIÓN URINARIA</w:t>
      </w:r>
      <w:r w:rsidRPr="00177BE0">
        <w:rPr>
          <w:rFonts w:ascii="Tahoma" w:hAnsi="Tahoma" w:cs="Arial"/>
          <w:i/>
          <w:sz w:val="18"/>
          <w:szCs w:val="22"/>
        </w:rPr>
        <w:t>.</w:t>
      </w:r>
    </w:p>
    <w:p w14:paraId="78E2ABC7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</w:rPr>
      </w:pPr>
    </w:p>
    <w:p w14:paraId="2AE4E728" w14:textId="77777777" w:rsidR="00A77217" w:rsidRPr="00177BE0" w:rsidRDefault="00A77217" w:rsidP="00A77217">
      <w:pPr>
        <w:jc w:val="both"/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>S/S CORRELACIONAR CON DATOS CLÍNICOS, EXÁMENES DE LABORATORIO Y CONTROL POSTERIOR.</w:t>
      </w:r>
    </w:p>
    <w:p w14:paraId="2A84B8BB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</w:rPr>
      </w:pPr>
    </w:p>
    <w:p w14:paraId="40AFB78C" w14:textId="77777777" w:rsidR="00A77217" w:rsidRPr="00177BE0" w:rsidRDefault="00A77217" w:rsidP="00A77217">
      <w:pPr>
        <w:rPr>
          <w:rFonts w:ascii="Tahoma" w:hAnsi="Tahoma" w:cs="Arial"/>
          <w:i/>
          <w:sz w:val="18"/>
          <w:szCs w:val="22"/>
        </w:rPr>
      </w:pPr>
      <w:r w:rsidRPr="00177BE0">
        <w:rPr>
          <w:rFonts w:ascii="Tahoma" w:hAnsi="Tahoma" w:cs="Arial"/>
          <w:i/>
          <w:sz w:val="18"/>
          <w:szCs w:val="22"/>
        </w:rPr>
        <w:t>Atentamente.</w:t>
      </w:r>
    </w:p>
    <w:p w14:paraId="302158FE" w14:textId="77777777" w:rsidR="00A77217" w:rsidRPr="00177BE0" w:rsidRDefault="00A77217" w:rsidP="00A77217">
      <w:pPr>
        <w:rPr>
          <w:rFonts w:ascii="Tahoma" w:hAnsi="Tahoma"/>
          <w:i/>
          <w:sz w:val="18"/>
        </w:rPr>
      </w:pPr>
    </w:p>
    <w:p w14:paraId="0A5FC7AB" w14:textId="77777777" w:rsidR="00A77217" w:rsidRPr="008A1FD4" w:rsidRDefault="00A77217" w:rsidP="00A77217">
      <w:pPr>
        <w:pStyle w:val="Ttulo1"/>
        <w:jc w:val="both"/>
        <w:rPr>
          <w:rFonts w:ascii="Tahoma" w:hAnsi="Tahoma"/>
          <w:i/>
        </w:rPr>
      </w:pPr>
    </w:p>
    <w:p w14:paraId="1EEF764A" w14:textId="729A3A83" w:rsidR="00025562" w:rsidRPr="00942AEF" w:rsidRDefault="00025562" w:rsidP="00A77217">
      <w:pPr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0"/>
  </w:num>
  <w:num w:numId="2" w16cid:durableId="1234005094">
    <w:abstractNumId w:val="13"/>
  </w:num>
  <w:num w:numId="3" w16cid:durableId="59863350">
    <w:abstractNumId w:val="8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1"/>
  </w:num>
  <w:num w:numId="9" w16cid:durableId="347487759">
    <w:abstractNumId w:val="9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6"/>
  </w:num>
  <w:num w:numId="13" w16cid:durableId="923103994">
    <w:abstractNumId w:val="14"/>
  </w:num>
  <w:num w:numId="14" w16cid:durableId="875968187">
    <w:abstractNumId w:val="3"/>
  </w:num>
  <w:num w:numId="15" w16cid:durableId="1256790569">
    <w:abstractNumId w:val="15"/>
  </w:num>
  <w:num w:numId="16" w16cid:durableId="1844735314">
    <w:abstractNumId w:val="7"/>
  </w:num>
  <w:num w:numId="17" w16cid:durableId="1570337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4C2E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17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1874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8D9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64C2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2023-10-25T19:38:00Z</dcterms:created>
  <dcterms:modified xsi:type="dcterms:W3CDTF">2024-01-01T19:00:00Z</dcterms:modified>
</cp:coreProperties>
</file>