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FE" w:rsidRPr="00086A94" w:rsidRDefault="00C317FE" w:rsidP="00C317FE">
      <w:pPr>
        <w:pStyle w:val="Ttul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  <w:bookmarkStart w:id="0" w:name="_GoBack"/>
      <w:bookmarkEnd w:id="0"/>
    </w:p>
    <w:p w:rsidR="00405B7F" w:rsidRPr="00C317F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C317F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317F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C317FE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C317FE">
        <w:rPr>
          <w:rFonts w:ascii="Tahoma" w:hAnsi="Tahoma" w:cs="Tahoma"/>
          <w:i/>
          <w:color w:val="000000"/>
          <w:szCs w:val="20"/>
        </w:rPr>
        <w:t>pulsaciones por minuto. M</w:t>
      </w:r>
      <w:r w:rsidRPr="00C317F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317F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317FE">
        <w:rPr>
          <w:rFonts w:ascii="Tahoma" w:hAnsi="Tahoma" w:cs="Tahoma"/>
          <w:i/>
          <w:color w:val="000000"/>
          <w:szCs w:val="20"/>
        </w:rPr>
        <w:t>es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80mm.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25mm.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13mm.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>
        <w:rPr>
          <w:rFonts w:ascii="Tahoma" w:hAnsi="Tahoma" w:cs="Tahoma"/>
          <w:i/>
          <w:color w:val="000000"/>
          <w:szCs w:val="20"/>
        </w:rPr>
        <w:tab/>
        <w:t>: 1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 w:rsidR="00C317FE">
        <w:rPr>
          <w:rFonts w:ascii="Tahoma" w:hAnsi="Tahoma" w:cs="Tahoma"/>
          <w:i/>
          <w:color w:val="000000"/>
          <w:szCs w:val="20"/>
        </w:rPr>
        <w:t>8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</w:t>
      </w:r>
      <w:r w:rsidR="007D5136" w:rsidRPr="00C317FE">
        <w:rPr>
          <w:rFonts w:ascii="Tahoma" w:hAnsi="Tahoma"/>
          <w:i/>
          <w:color w:val="000000"/>
          <w:szCs w:val="20"/>
        </w:rPr>
        <w:t>trif</w:t>
      </w:r>
      <w:r w:rsidRPr="00C317FE">
        <w:rPr>
          <w:rFonts w:ascii="Tahoma" w:hAnsi="Tahoma"/>
          <w:i/>
          <w:color w:val="000000"/>
          <w:szCs w:val="20"/>
        </w:rPr>
        <w:t>ásica</w:t>
      </w:r>
      <w:r w:rsidR="007D5136" w:rsidRPr="00C317FE">
        <w:rPr>
          <w:rFonts w:ascii="Tahoma" w:hAnsi="Tahoma"/>
          <w:i/>
          <w:color w:val="000000"/>
          <w:szCs w:val="20"/>
        </w:rPr>
        <w:t xml:space="preserve"> </w:t>
      </w:r>
      <w:r w:rsidRPr="00C317FE">
        <w:rPr>
          <w:rFonts w:ascii="Tahoma" w:hAnsi="Tahoma"/>
          <w:i/>
          <w:color w:val="000000"/>
          <w:szCs w:val="20"/>
        </w:rPr>
        <w:t xml:space="preserve">con onda “A” </w:t>
      </w:r>
      <w:r w:rsidR="00086A94"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 w:rsidR="00C317F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317F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317F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317F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 w:rsidR="00086A94"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C317FE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C317FE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D6DB3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4D6DB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4D6DB3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4D6DB3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 DE ARTERIAS UTERINAS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4D6DB3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444B7D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y </w:t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 xml:space="preserve">adecuados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C317F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>
        <w:rPr>
          <w:rFonts w:ascii="Tahoma" w:hAnsi="Tahoma" w:cs="Tahoma"/>
          <w:i/>
          <w:color w:val="000000"/>
          <w:sz w:val="20"/>
          <w:szCs w:val="20"/>
        </w:rPr>
        <w:t>13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SEMANAS, 3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4D6DB3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4D6DB3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FICO PARA T21: 1/386</w:t>
      </w:r>
    </w:p>
    <w:p w:rsidR="00086A94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4D6DB3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FICO PARA T21: 1/224</w:t>
      </w:r>
    </w:p>
    <w:p w:rsidR="00405B7F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C317FE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IPm DE ARTERIAS UTERINAS EN PERCENTIL 50 PARA LA EDAD GESTACIONAL.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4D6DB3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317F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C317F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13</cp:revision>
  <cp:lastPrinted>2005-08-02T17:40:00Z</cp:lastPrinted>
  <dcterms:created xsi:type="dcterms:W3CDTF">2016-02-10T16:21:00Z</dcterms:created>
  <dcterms:modified xsi:type="dcterms:W3CDTF">2019-04-19T02:27:00Z</dcterms:modified>
</cp:coreProperties>
</file>