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79" w:rsidRPr="00EB3B79" w:rsidRDefault="00EB3B79" w:rsidP="00EB3B79">
      <w:pPr>
        <w:pStyle w:val="Ttul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1622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056498" w:rsidRPr="00EB3B79" w:rsidRDefault="00EB3B79" w:rsidP="00EB3B7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EB3B7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EB3B79" w:rsidRPr="00EB3B79" w:rsidRDefault="00EB3B79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6818EE" w:rsidRDefault="006818EE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6818EE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6818EE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E60C0F">
        <w:rPr>
          <w:rFonts w:ascii="Tahoma" w:hAnsi="Tahoma" w:cs="Tahoma"/>
          <w:i/>
          <w:sz w:val="20"/>
          <w:szCs w:val="20"/>
        </w:rPr>
        <w:t xml:space="preserve">CORREACIONAR CON DATOS CLINICOS, EXAMENES DE LABORATORIO (HCG – BETA CUANTITATIVO EN SANGRE) Y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222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18EE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2ECD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0C0F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D16ADF-1276-479B-8559-AAAE62C0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2007-10-15T14:49:00Z</cp:lastPrinted>
  <dcterms:created xsi:type="dcterms:W3CDTF">2018-04-25T17:35:00Z</dcterms:created>
  <dcterms:modified xsi:type="dcterms:W3CDTF">2019-04-20T22:27:00Z</dcterms:modified>
</cp:coreProperties>
</file>