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3F" w:rsidRDefault="00DA3F3F" w:rsidP="00DA3F3F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DA3F3F" w:rsidRDefault="00DA3F3F" w:rsidP="00DA3F3F">
      <w:pPr>
        <w:rPr>
          <w:rFonts w:ascii="Arial" w:hAnsi="Arial" w:cs="Arial"/>
          <w:i/>
        </w:rPr>
      </w:pPr>
    </w:p>
    <w:p w:rsidR="00DA3F3F" w:rsidRDefault="00DA3F3F" w:rsidP="00DA3F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A3F3F" w:rsidRDefault="00DA3F3F" w:rsidP="00DA3F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A3F3F" w:rsidRDefault="00DA3F3F" w:rsidP="00DA3F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A3F3F" w:rsidRDefault="00DA3F3F" w:rsidP="00DA3F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F20ED" w:rsidRDefault="00CF20ED" w:rsidP="00CF20ED">
      <w:pPr>
        <w:rPr>
          <w:rFonts w:ascii="Tahoma" w:hAnsi="Tahoma" w:cs="Arial"/>
          <w:i/>
          <w:sz w:val="20"/>
        </w:rPr>
      </w:pPr>
    </w:p>
    <w:p w:rsidR="00813A6A" w:rsidRPr="00CF20ED" w:rsidRDefault="00CF20ED" w:rsidP="00CF20ED">
      <w:pPr>
        <w:pStyle w:val="Ttulo1"/>
        <w:jc w:val="both"/>
        <w:rPr>
          <w:rFonts w:ascii="Tahoma" w:hAnsi="Tahoma"/>
          <w:i/>
          <w:sz w:val="20"/>
          <w:szCs w:val="22"/>
        </w:rPr>
      </w:pPr>
      <w:r>
        <w:rPr>
          <w:rFonts w:ascii="Arial Black" w:hAnsi="Arial Black"/>
          <w:i/>
          <w:noProof/>
          <w:sz w:val="20"/>
          <w:szCs w:val="22"/>
        </w:rPr>
        <w:t xml:space="preserve">EL ESTUDIO ULTRASONOGRÁFICO REALIZADO CON ECÓGRAFO MARCA </w:t>
      </w:r>
      <w:r w:rsidR="001C4B95" w:rsidRPr="001C4B95">
        <w:rPr>
          <w:rFonts w:ascii="Arial Black" w:hAnsi="Arial Black"/>
          <w:i/>
          <w:noProof/>
          <w:sz w:val="20"/>
          <w:szCs w:val="22"/>
        </w:rPr>
        <w:t xml:space="preserve">MEDISONIC MODELO H60 </w:t>
      </w:r>
      <w:bookmarkStart w:id="0" w:name="_GoBack"/>
      <w:bookmarkEnd w:id="0"/>
      <w:r>
        <w:rPr>
          <w:rFonts w:ascii="Arial Black" w:hAnsi="Arial Black"/>
          <w:i/>
          <w:noProof/>
          <w:sz w:val="20"/>
          <w:szCs w:val="22"/>
        </w:rPr>
        <w:t>EN ESCALA DE GRISES Y UTILIZANDO TRANSDUCTOR CONVEXO MULTIFRECUENCIAL PARA LA EXPLORACIÓN DE LA VEJIGA Y GLÁNDULA PROSTÁTICA, MUESTRA:</w:t>
      </w:r>
    </w:p>
    <w:p w:rsidR="00813A6A" w:rsidRPr="00CF20ED" w:rsidRDefault="00813A6A" w:rsidP="00813A6A">
      <w:pPr>
        <w:rPr>
          <w:rFonts w:ascii="Tahoma" w:hAnsi="Tahoma" w:cs="Arial"/>
          <w:i/>
          <w:sz w:val="20"/>
        </w:rPr>
      </w:pPr>
    </w:p>
    <w:p w:rsidR="00067860" w:rsidRPr="00CF20ED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CF20ED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CF20ED">
        <w:rPr>
          <w:rFonts w:ascii="Tahoma" w:hAnsi="Tahoma" w:cs="Arial"/>
          <w:i/>
          <w:noProof/>
          <w:sz w:val="20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067860" w:rsidRPr="00CF20ED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CF20ED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CF20ED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CF20ED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CF20ED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CF20ED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CF20ED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CF20ED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CF20ED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CF20ED">
        <w:rPr>
          <w:rFonts w:ascii="Tahoma" w:hAnsi="Tahoma" w:cs="Arial"/>
          <w:b/>
          <w:i/>
          <w:sz w:val="20"/>
          <w:szCs w:val="22"/>
        </w:rPr>
        <w:t>:</w:t>
      </w:r>
      <w:r w:rsidRPr="00CF20ED">
        <w:rPr>
          <w:rFonts w:ascii="Tahoma" w:hAnsi="Tahoma" w:cs="Arial"/>
          <w:i/>
          <w:sz w:val="20"/>
          <w:szCs w:val="22"/>
        </w:rPr>
        <w:t xml:space="preserve"> </w:t>
      </w:r>
      <w:r w:rsidR="00833F35" w:rsidRPr="00CF20ED">
        <w:rPr>
          <w:rFonts w:ascii="Tahoma" w:hAnsi="Tahoma" w:cs="Arial"/>
          <w:i/>
          <w:sz w:val="20"/>
          <w:szCs w:val="22"/>
        </w:rPr>
        <w:t xml:space="preserve">Muestra eco – morfología inusual por perdida de la zona </w:t>
      </w:r>
      <w:proofErr w:type="spellStart"/>
      <w:r w:rsidR="00833F35" w:rsidRPr="00CF20ED">
        <w:rPr>
          <w:rFonts w:ascii="Tahoma" w:hAnsi="Tahoma" w:cs="Arial"/>
          <w:i/>
          <w:sz w:val="20"/>
          <w:szCs w:val="22"/>
        </w:rPr>
        <w:t>periuretral</w:t>
      </w:r>
      <w:proofErr w:type="spellEnd"/>
      <w:r w:rsidR="00833F35" w:rsidRPr="00CF20ED">
        <w:rPr>
          <w:rFonts w:ascii="Tahoma" w:hAnsi="Tahoma" w:cs="Arial"/>
          <w:i/>
          <w:sz w:val="20"/>
          <w:szCs w:val="22"/>
        </w:rPr>
        <w:t xml:space="preserve"> en forma cóncava.</w:t>
      </w:r>
      <w:r w:rsidR="00CF20ED">
        <w:rPr>
          <w:rFonts w:ascii="Tahoma" w:hAnsi="Tahoma" w:cs="Arial"/>
          <w:i/>
          <w:sz w:val="20"/>
          <w:szCs w:val="22"/>
        </w:rPr>
        <w:t xml:space="preserve"> </w:t>
      </w:r>
      <w:r w:rsidR="00833F35" w:rsidRPr="00CF20ED">
        <w:rPr>
          <w:rFonts w:ascii="Tahoma" w:hAnsi="Tahoma" w:cs="Arial"/>
          <w:i/>
          <w:sz w:val="20"/>
          <w:szCs w:val="22"/>
        </w:rPr>
        <w:t xml:space="preserve">La glándula remanente no </w:t>
      </w:r>
      <w:r w:rsidRPr="00CF20ED">
        <w:rPr>
          <w:rFonts w:ascii="Tahoma" w:hAnsi="Tahoma" w:cs="Arial"/>
          <w:i/>
          <w:sz w:val="20"/>
          <w:szCs w:val="22"/>
        </w:rPr>
        <w:t>evidencia lesiones focales sólidas, quísticas ni calcificaciones.</w:t>
      </w:r>
    </w:p>
    <w:p w:rsidR="00C1367B" w:rsidRPr="00CF20ED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 xml:space="preserve">Región </w:t>
      </w:r>
      <w:proofErr w:type="spellStart"/>
      <w:r w:rsidRPr="00CF20ED">
        <w:rPr>
          <w:rFonts w:ascii="Tahoma" w:hAnsi="Tahoma" w:cs="Arial"/>
          <w:i/>
          <w:sz w:val="20"/>
          <w:szCs w:val="22"/>
        </w:rPr>
        <w:t>fibromuscular</w:t>
      </w:r>
      <w:proofErr w:type="spellEnd"/>
      <w:r w:rsidRPr="00CF20ED">
        <w:rPr>
          <w:rFonts w:ascii="Tahoma" w:hAnsi="Tahoma" w:cs="Arial"/>
          <w:i/>
          <w:sz w:val="20"/>
          <w:szCs w:val="22"/>
        </w:rPr>
        <w:t xml:space="preserve"> anterior </w:t>
      </w:r>
      <w:r w:rsidR="003C6461" w:rsidRPr="00CF20ED">
        <w:rPr>
          <w:rFonts w:ascii="Tahoma" w:hAnsi="Tahoma" w:cs="Arial"/>
          <w:i/>
          <w:sz w:val="20"/>
          <w:szCs w:val="22"/>
        </w:rPr>
        <w:t>no muestra lesiones focales</w:t>
      </w:r>
      <w:r w:rsidRPr="00CF20ED">
        <w:rPr>
          <w:rFonts w:ascii="Tahoma" w:hAnsi="Tahoma" w:cs="Arial"/>
          <w:i/>
          <w:sz w:val="20"/>
          <w:szCs w:val="22"/>
        </w:rPr>
        <w:t>.</w:t>
      </w:r>
    </w:p>
    <w:p w:rsidR="003C6461" w:rsidRPr="00CF20ED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CF20ED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CF20ED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</w:t>
      </w:r>
      <w:r w:rsidR="00833F35" w:rsidRPr="00CF20ED">
        <w:rPr>
          <w:rFonts w:ascii="Tahoma" w:hAnsi="Tahoma" w:cs="Arial"/>
          <w:b/>
          <w:i/>
          <w:sz w:val="20"/>
          <w:szCs w:val="22"/>
          <w:u w:val="single"/>
          <w:lang w:val="pt-BR"/>
        </w:rPr>
        <w:t>Á</w:t>
      </w:r>
      <w:r w:rsidRPr="00CF20ED">
        <w:rPr>
          <w:rFonts w:ascii="Tahoma" w:hAnsi="Tahoma" w:cs="Arial"/>
          <w:b/>
          <w:i/>
          <w:sz w:val="20"/>
          <w:szCs w:val="22"/>
          <w:u w:val="single"/>
          <w:lang w:val="pt-BR"/>
        </w:rPr>
        <w:t>METROS</w:t>
      </w:r>
      <w:r w:rsidR="00C1367B" w:rsidRPr="00CF20ED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CF20ED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CF20ED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  <w:t xml:space="preserve"> </w:t>
      </w:r>
      <w:proofErr w:type="spellStart"/>
      <w:r w:rsidRPr="00CF20ED">
        <w:rPr>
          <w:rFonts w:ascii="Tahoma" w:hAnsi="Tahoma" w:cs="Arial"/>
          <w:i/>
          <w:sz w:val="20"/>
          <w:szCs w:val="22"/>
          <w:lang w:val="pt-BR"/>
        </w:rPr>
        <w:t>mm.</w:t>
      </w:r>
      <w:proofErr w:type="spellEnd"/>
      <w:r w:rsidRPr="00CF20ED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CF20ED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CF20ED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CF20ED">
        <w:rPr>
          <w:rFonts w:ascii="Tahoma" w:hAnsi="Tahoma" w:cs="Arial"/>
          <w:i/>
          <w:sz w:val="20"/>
          <w:szCs w:val="22"/>
          <w:lang w:val="pt-BR"/>
        </w:rPr>
        <w:t>l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  <w:t xml:space="preserve"> </w:t>
      </w:r>
      <w:proofErr w:type="spellStart"/>
      <w:r w:rsidRPr="00CF20ED">
        <w:rPr>
          <w:rFonts w:ascii="Tahoma" w:hAnsi="Tahoma" w:cs="Arial"/>
          <w:i/>
          <w:sz w:val="20"/>
          <w:szCs w:val="22"/>
          <w:lang w:val="pt-BR"/>
        </w:rPr>
        <w:t>mm.</w:t>
      </w:r>
      <w:proofErr w:type="spellEnd"/>
      <w:r w:rsidRPr="00CF20ED">
        <w:rPr>
          <w:rFonts w:ascii="Tahoma" w:hAnsi="Tahoma" w:cs="Arial"/>
          <w:i/>
          <w:sz w:val="20"/>
          <w:szCs w:val="22"/>
          <w:lang w:val="pt-BR"/>
        </w:rPr>
        <w:t xml:space="preserve">  </w:t>
      </w:r>
    </w:p>
    <w:p w:rsidR="00C1367B" w:rsidRPr="00CF20ED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Antero posterior</w:t>
      </w:r>
      <w:r w:rsidRPr="00CF20ED">
        <w:rPr>
          <w:rFonts w:ascii="Tahoma" w:hAnsi="Tahoma" w:cs="Arial"/>
          <w:i/>
          <w:sz w:val="20"/>
          <w:szCs w:val="22"/>
        </w:rPr>
        <w:tab/>
        <w:t xml:space="preserve">: </w:t>
      </w:r>
      <w:r w:rsidRPr="00CF20ED">
        <w:rPr>
          <w:rFonts w:ascii="Tahoma" w:hAnsi="Tahoma" w:cs="Arial"/>
          <w:i/>
          <w:sz w:val="20"/>
          <w:szCs w:val="22"/>
        </w:rPr>
        <w:tab/>
        <w:t xml:space="preserve"> </w:t>
      </w:r>
      <w:proofErr w:type="spellStart"/>
      <w:r w:rsidRPr="00CF20ED">
        <w:rPr>
          <w:rFonts w:ascii="Tahoma" w:hAnsi="Tahoma" w:cs="Arial"/>
          <w:i/>
          <w:sz w:val="20"/>
          <w:szCs w:val="22"/>
        </w:rPr>
        <w:t>mm.</w:t>
      </w:r>
      <w:proofErr w:type="spellEnd"/>
    </w:p>
    <w:p w:rsidR="00C1367B" w:rsidRPr="00CF20ED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33F35" w:rsidRPr="00CF20ED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b/>
          <w:i/>
          <w:sz w:val="20"/>
          <w:szCs w:val="22"/>
        </w:rPr>
        <w:t xml:space="preserve">Volumen </w:t>
      </w:r>
      <w:r w:rsidR="00833F35" w:rsidRPr="00CF20ED">
        <w:rPr>
          <w:rFonts w:ascii="Tahoma" w:hAnsi="Tahoma" w:cs="Arial"/>
          <w:b/>
          <w:i/>
          <w:sz w:val="20"/>
          <w:szCs w:val="22"/>
        </w:rPr>
        <w:t>de glándula remanente</w:t>
      </w:r>
      <w:r w:rsidRPr="00CF20ED">
        <w:rPr>
          <w:rFonts w:ascii="Tahoma" w:hAnsi="Tahoma" w:cs="Arial"/>
          <w:b/>
          <w:i/>
          <w:sz w:val="20"/>
          <w:szCs w:val="22"/>
        </w:rPr>
        <w:t>:</w:t>
      </w:r>
      <w:r w:rsidR="00786EA5" w:rsidRPr="00CF20ED">
        <w:rPr>
          <w:rFonts w:ascii="Tahoma" w:hAnsi="Tahoma" w:cs="Arial"/>
          <w:i/>
          <w:sz w:val="20"/>
          <w:szCs w:val="22"/>
        </w:rPr>
        <w:t xml:space="preserve"> </w:t>
      </w:r>
      <w:proofErr w:type="spellStart"/>
      <w:r w:rsidRPr="00CF20ED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CF20ED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CF20ED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CF20ED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CF20ED">
        <w:rPr>
          <w:rFonts w:ascii="Tahoma" w:hAnsi="Tahoma" w:cs="Arial"/>
          <w:b/>
          <w:i/>
          <w:sz w:val="20"/>
          <w:szCs w:val="22"/>
        </w:rPr>
        <w:t xml:space="preserve">: </w:t>
      </w:r>
      <w:r w:rsidRPr="00CF20ED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CF20ED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CF20ED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CF20ED" w:rsidRDefault="00CF20ED" w:rsidP="00C1367B">
      <w:pPr>
        <w:rPr>
          <w:rFonts w:ascii="Arial Black" w:hAnsi="Arial Black" w:cs="Arial"/>
          <w:i/>
          <w:sz w:val="20"/>
          <w:szCs w:val="22"/>
        </w:rPr>
      </w:pPr>
      <w:r w:rsidRPr="00CF20ED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CF20ED">
        <w:rPr>
          <w:rFonts w:ascii="Arial Black" w:hAnsi="Arial Black" w:cs="Arial"/>
          <w:i/>
          <w:sz w:val="20"/>
          <w:szCs w:val="22"/>
        </w:rPr>
        <w:t xml:space="preserve">: </w:t>
      </w:r>
    </w:p>
    <w:p w:rsidR="00C1367B" w:rsidRPr="00CF20ED" w:rsidRDefault="00C1367B" w:rsidP="00C1367B">
      <w:pPr>
        <w:rPr>
          <w:rFonts w:ascii="Tahoma" w:hAnsi="Tahoma" w:cs="Arial"/>
          <w:i/>
          <w:sz w:val="20"/>
        </w:rPr>
      </w:pPr>
    </w:p>
    <w:p w:rsidR="00833F35" w:rsidRPr="00CF20ED" w:rsidRDefault="00833F35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HALLAZGOS ECOGRÁFICOS EN RELACIÓN CON GLÁNDULA PROSTÁTICA REMANENTE.</w:t>
      </w:r>
    </w:p>
    <w:p w:rsidR="00C1367B" w:rsidRPr="00CF20ED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VEJIGA ECOGRAFICAMENTE CONSERVAD</w:t>
      </w:r>
      <w:r w:rsidR="00833F35" w:rsidRPr="00CF20ED">
        <w:rPr>
          <w:rFonts w:ascii="Tahoma" w:hAnsi="Tahoma" w:cs="Arial"/>
          <w:i/>
          <w:sz w:val="20"/>
          <w:szCs w:val="22"/>
        </w:rPr>
        <w:t>A</w:t>
      </w:r>
      <w:r w:rsidRPr="00CF20ED">
        <w:rPr>
          <w:rFonts w:ascii="Tahoma" w:hAnsi="Tahoma" w:cs="Arial"/>
          <w:i/>
          <w:sz w:val="20"/>
          <w:szCs w:val="22"/>
        </w:rPr>
        <w:t>.</w:t>
      </w:r>
    </w:p>
    <w:p w:rsidR="00C1367B" w:rsidRPr="00CF20ED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CF20ED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33F35" w:rsidRPr="00CF20ED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S/S CORRELACIONAR CON DATOS CLÍNICOS Y CONTROL POSTERIOR.</w:t>
      </w:r>
    </w:p>
    <w:p w:rsidR="00833F35" w:rsidRPr="00CF20ED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13A6A" w:rsidRPr="00CF20ED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CF20ED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30E1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4B95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606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3F35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68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0ED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A3F3F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basedOn w:val="Fuentedeprrafopredeter"/>
    <w:link w:val="Ttulo"/>
    <w:rsid w:val="00CF20E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basedOn w:val="Fuentedeprrafopredeter"/>
    <w:link w:val="Ttulo"/>
    <w:rsid w:val="00CF20E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4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2004-09-10T15:32:00Z</cp:lastPrinted>
  <dcterms:created xsi:type="dcterms:W3CDTF">2018-03-07T18:36:00Z</dcterms:created>
  <dcterms:modified xsi:type="dcterms:W3CDTF">2019-05-10T21:25:00Z</dcterms:modified>
</cp:coreProperties>
</file>