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0A" w:rsidRPr="0073570A" w:rsidRDefault="0073570A" w:rsidP="0073570A">
      <w:pPr>
        <w:pStyle w:val="Ttul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137C" w:rsidRPr="00551E69" w:rsidRDefault="0084137C" w:rsidP="0084137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B935CD" w:rsidRDefault="00B935CD" w:rsidP="00B935C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9269A0" w:rsidRPr="009269A0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miomatosis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fúndico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 xml:space="preserve">irregulares e inadecuada delimitación de la pared interna, mide 36mm de diámetro mayor con reacción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decidual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simismo se aprecia colección </w:t>
      </w:r>
      <w:proofErr w:type="spellStart"/>
      <w:r w:rsidR="003F2536" w:rsidRPr="0073570A">
        <w:rPr>
          <w:rFonts w:ascii="Tahoma" w:hAnsi="Tahoma" w:cs="Tahoma"/>
          <w:i/>
          <w:sz w:val="20"/>
          <w:szCs w:val="20"/>
        </w:rPr>
        <w:t>anecogénica</w:t>
      </w:r>
      <w:proofErr w:type="spellEnd"/>
      <w:r w:rsidR="003F2536" w:rsidRPr="0073570A">
        <w:rPr>
          <w:rFonts w:ascii="Tahoma" w:hAnsi="Tahoma" w:cs="Tahoma"/>
          <w:i/>
          <w:sz w:val="20"/>
          <w:szCs w:val="20"/>
        </w:rPr>
        <w:t xml:space="preserve"> con finos ecos internos en suspensión cuyo diámetro es de 35 x 11mm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proofErr w:type="spellStart"/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proofErr w:type="spellEnd"/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2457CC" w:rsidP="0098704A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 w:rsidRPr="002457CC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9A0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15A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15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0515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0515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0515A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0515A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2007-10-15T14:49:00Z</cp:lastPrinted>
  <dcterms:created xsi:type="dcterms:W3CDTF">2016-02-10T16:34:00Z</dcterms:created>
  <dcterms:modified xsi:type="dcterms:W3CDTF">2019-05-15T16:34:00Z</dcterms:modified>
</cp:coreProperties>
</file>