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D84" w:rsidRPr="000D50A4" w:rsidRDefault="00211D84" w:rsidP="00211D84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0D50A4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211D84" w:rsidRPr="009548C7" w:rsidRDefault="00211D84" w:rsidP="00211D84">
      <w:pPr>
        <w:rPr>
          <w:rFonts w:ascii="Arial" w:hAnsi="Arial" w:cs="Arial"/>
          <w:i/>
          <w:color w:val="000000"/>
        </w:rPr>
      </w:pPr>
    </w:p>
    <w:p w:rsidR="00211D84" w:rsidRDefault="00211D84" w:rsidP="00211D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11D84" w:rsidRDefault="00211D84" w:rsidP="00211D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11D84" w:rsidRDefault="00211D84" w:rsidP="00211D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11D84" w:rsidRDefault="00211D84" w:rsidP="00211D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A7D01" w:rsidRPr="009D236E" w:rsidRDefault="009A7D01" w:rsidP="009A7D01">
      <w:pPr>
        <w:rPr>
          <w:rFonts w:ascii="Arial" w:hAnsi="Arial" w:cs="Arial"/>
          <w:i/>
          <w:color w:val="000000"/>
          <w:sz w:val="20"/>
          <w:szCs w:val="20"/>
        </w:rPr>
      </w:pPr>
    </w:p>
    <w:p w:rsidR="00473274" w:rsidRDefault="00473274" w:rsidP="00473274">
      <w:pPr>
        <w:pStyle w:val="Ttulo3"/>
        <w:jc w:val="both"/>
        <w:rPr>
          <w:b w:val="0"/>
          <w:i/>
          <w:color w:val="000000"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proofErr w:type="spellStart"/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</w:t>
      </w:r>
      <w:proofErr w:type="spellEnd"/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 xml:space="preserve"> DC-N3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9D236E" w:rsidRPr="009D236E" w:rsidRDefault="009D236E" w:rsidP="009D236E">
      <w:pPr>
        <w:rPr>
          <w:i/>
        </w:rPr>
      </w:pPr>
      <w:bookmarkStart w:id="0" w:name="_GoBack"/>
      <w:bookmarkEnd w:id="0"/>
    </w:p>
    <w:p w:rsidR="009A7D01" w:rsidRPr="009F4353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F4353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9F4353">
        <w:rPr>
          <w:rFonts w:ascii="Tahoma" w:hAnsi="Tahoma"/>
          <w:i/>
          <w:color w:val="000000"/>
          <w:sz w:val="18"/>
          <w:szCs w:val="20"/>
        </w:rPr>
        <w:t>:</w:t>
      </w:r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23369E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 en atención al grupo etario, mide 131mm de longitud a nivel del LHD. Muestra bordes romos, ecogenicidad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parenquimal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aumentada en forma difusa asociado a inadecuada visualización de los vasos suprahepáticos y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periportales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.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Ecotextura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parenquimal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homogénea sin evidencia de lesiones focales solidas ni quísticas. Conductos biliares intrahepáticos no muestran dilataciones.</w:t>
      </w:r>
    </w:p>
    <w:p w:rsidR="009A7D01" w:rsidRPr="009F4353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F4353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9A7D01" w:rsidRPr="009F4353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pólipos, barro biliar ni masas al interior.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9A7D01" w:rsidRPr="009F4353" w:rsidRDefault="009A7D01" w:rsidP="009A7D0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A7D01" w:rsidRPr="009F4353" w:rsidRDefault="009A7D01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de aspecto inusual, mide 31mm a nivel de Cabeza y 17mm a nivel corporal. </w:t>
      </w:r>
    </w:p>
    <w:p w:rsidR="009A7D01" w:rsidRPr="009F4353" w:rsidRDefault="009A7D01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Muestra aumento del volumen e incremento difuso de la ecogenicidad </w:t>
      </w:r>
      <w:proofErr w:type="spellStart"/>
      <w:r w:rsidRPr="009F4353">
        <w:rPr>
          <w:rFonts w:ascii="Tahoma" w:hAnsi="Tahoma" w:cs="Arial"/>
          <w:i/>
          <w:color w:val="000000"/>
          <w:sz w:val="18"/>
          <w:szCs w:val="18"/>
        </w:rPr>
        <w:t>parenquimal</w:t>
      </w:r>
      <w:proofErr w:type="spellEnd"/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, bordes irregulares e impresiona engrosamiento de los planos grasos adyacentes.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18"/>
        </w:rPr>
        <w:t>Demás estructuras vasculares y ganglionares del retroperitoneo son de aspecto norm</w:t>
      </w:r>
      <w:r w:rsidRPr="009F4353">
        <w:rPr>
          <w:rFonts w:ascii="Tahoma" w:hAnsi="Tahoma" w:cs="Arial"/>
          <w:bCs/>
          <w:i/>
          <w:color w:val="000000"/>
          <w:sz w:val="18"/>
          <w:szCs w:val="18"/>
        </w:rPr>
        <w:t>al.</w:t>
      </w:r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18"/>
        </w:rPr>
        <w:t>Conducto pancreático principal conservado.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Muestra </w:t>
      </w:r>
      <w:proofErr w:type="spellStart"/>
      <w:r w:rsidRPr="009F4353">
        <w:rPr>
          <w:rFonts w:ascii="Tahoma" w:hAnsi="Tahoma" w:cs="Arial"/>
          <w:i/>
          <w:color w:val="000000"/>
          <w:sz w:val="18"/>
          <w:szCs w:val="20"/>
        </w:rPr>
        <w:t>ecotextura</w:t>
      </w:r>
      <w:proofErr w:type="spellEnd"/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homogénea sin evidencia de lesiones focales sólidas, quísticas ni focos de colección. Los bordes son regulares y lisos.</w:t>
      </w:r>
    </w:p>
    <w:p w:rsidR="009A7D01" w:rsidRPr="009F4353" w:rsidRDefault="009A7D01" w:rsidP="009A7D0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Visible en su porción </w:t>
      </w:r>
      <w:proofErr w:type="spellStart"/>
      <w:r w:rsidRPr="009F4353">
        <w:rPr>
          <w:rFonts w:ascii="Tahoma" w:hAnsi="Tahoma" w:cs="Arial"/>
          <w:i/>
          <w:color w:val="000000"/>
          <w:sz w:val="18"/>
          <w:szCs w:val="20"/>
        </w:rPr>
        <w:t>antral</w:t>
      </w:r>
      <w:proofErr w:type="spellEnd"/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9A7D01" w:rsidP="009A7D01">
      <w:pPr>
        <w:widowControl w:val="0"/>
        <w:jc w:val="both"/>
        <w:rPr>
          <w:rFonts w:ascii="Tahoma" w:hAnsi="Tahoma"/>
          <w:b/>
          <w:i/>
          <w:color w:val="000000"/>
          <w:sz w:val="16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9A7D01" w:rsidRPr="009F4353" w:rsidRDefault="009A7D01" w:rsidP="0071304B">
      <w:pPr>
        <w:widowControl w:val="0"/>
        <w:jc w:val="both"/>
        <w:rPr>
          <w:rFonts w:ascii="Tahoma" w:hAnsi="Tahoma"/>
          <w:b/>
          <w:i/>
          <w:color w:val="000000"/>
          <w:sz w:val="16"/>
          <w:szCs w:val="18"/>
        </w:rPr>
      </w:pPr>
    </w:p>
    <w:p w:rsidR="0071304B" w:rsidRPr="009F4353" w:rsidRDefault="009F4353" w:rsidP="0071304B">
      <w:pPr>
        <w:widowControl w:val="0"/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9F4353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ECOGRÁFICOS:</w:t>
      </w:r>
      <w:r w:rsidR="0071304B" w:rsidRPr="009F4353">
        <w:rPr>
          <w:rFonts w:ascii="Arial Black" w:hAnsi="Arial Black" w:cs="Arial"/>
          <w:i/>
          <w:color w:val="000000"/>
          <w:sz w:val="20"/>
          <w:szCs w:val="20"/>
          <w:u w:val="single"/>
        </w:rPr>
        <w:t xml:space="preserve"> </w:t>
      </w: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ESTEATOSIS HEP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Á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TICA DIFUSA MODERADA (GRADO II).</w:t>
      </w:r>
    </w:p>
    <w:p w:rsidR="0071304B" w:rsidRPr="009F4353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P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Á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NCREAS DE ASPECTO INUSUAL 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 xml:space="preserve">E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HIPERECOG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É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NICO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 xml:space="preserve"> DE EAD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71304B" w:rsidRPr="009F4353" w:rsidRDefault="0071304B" w:rsidP="009A7D0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D/C INFILTRACI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Ó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N GRASA, D/C CAMBIO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S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INFLAMATORIO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S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DE TIPO CR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Ó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NICO.</w:t>
      </w:r>
    </w:p>
    <w:p w:rsidR="0075054E" w:rsidRPr="009F4353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DEMAS ORGANOS ABDOMINALES NOMBRADOS SIN EVIDENCIA DE PATOLOGIA POR ESTA MODALIDAD Y TECNICA DIAGNOSTICA. </w:t>
      </w:r>
    </w:p>
    <w:p w:rsidR="0075054E" w:rsidRPr="009F4353" w:rsidRDefault="0075054E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S/S CORRELACIONAR CON DATOS CLINICOS Y EXAMENES DE LABORATORIO.</w:t>
      </w: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:rsidR="0071304B" w:rsidRPr="009F4353" w:rsidRDefault="0071304B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sectPr w:rsidR="0071304B" w:rsidRPr="009F4353" w:rsidSect="00DE3BC6">
      <w:pgSz w:w="12240" w:h="15840"/>
      <w:pgMar w:top="1618" w:right="900" w:bottom="53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56066"/>
    <w:multiLevelType w:val="hybridMultilevel"/>
    <w:tmpl w:val="9B429EA4"/>
    <w:lvl w:ilvl="0" w:tplc="1116BD1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B10B41"/>
    <w:multiLevelType w:val="hybridMultilevel"/>
    <w:tmpl w:val="00B0CF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1C4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1D84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69E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6D58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1267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2DBB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274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5C06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B9C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0EC9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88F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304B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54E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2800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13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5A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1F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81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A7D01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236E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4353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8A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5E42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9D9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5973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8B8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DB9"/>
    <w:rsid w:val="00D10EF3"/>
    <w:rsid w:val="00D12A71"/>
    <w:rsid w:val="00D13AE2"/>
    <w:rsid w:val="00D17D52"/>
    <w:rsid w:val="00D17DC9"/>
    <w:rsid w:val="00D20843"/>
    <w:rsid w:val="00D2413A"/>
    <w:rsid w:val="00D252B4"/>
    <w:rsid w:val="00D27876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3C1"/>
    <w:rsid w:val="00D65F0E"/>
    <w:rsid w:val="00D6689C"/>
    <w:rsid w:val="00D67E72"/>
    <w:rsid w:val="00D7028A"/>
    <w:rsid w:val="00D71100"/>
    <w:rsid w:val="00D71DD9"/>
    <w:rsid w:val="00D72517"/>
    <w:rsid w:val="00D72834"/>
    <w:rsid w:val="00D73618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3BC6"/>
    <w:rsid w:val="00DE4B53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3A4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7BB7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331FD98-3FAC-4AF7-8F3A-0E9CC22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9A7D0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13</cp:revision>
  <cp:lastPrinted>2004-12-28T16:27:00Z</cp:lastPrinted>
  <dcterms:created xsi:type="dcterms:W3CDTF">2016-02-10T16:04:00Z</dcterms:created>
  <dcterms:modified xsi:type="dcterms:W3CDTF">2019-05-20T18:22:00Z</dcterms:modified>
</cp:coreProperties>
</file>