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F58" w:rsidRDefault="004A1F58" w:rsidP="004A1F58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4A1F58" w:rsidRDefault="004A1F58" w:rsidP="004A1F58">
      <w:pPr>
        <w:rPr>
          <w:rFonts w:ascii="Arial" w:hAnsi="Arial" w:cs="Arial"/>
          <w:i/>
          <w:color w:val="000000"/>
        </w:rPr>
      </w:pPr>
    </w:p>
    <w:p w:rsidR="004A1F58" w:rsidRDefault="004A1F58" w:rsidP="004A1F5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A1F58" w:rsidRDefault="004A1F58" w:rsidP="004A1F5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A1F58" w:rsidRDefault="004A1F58" w:rsidP="004A1F5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A1F58" w:rsidRDefault="004A1F58" w:rsidP="004A1F5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</w:p>
    <w:p w:rsidR="00D569B0" w:rsidRPr="004C7FC8" w:rsidRDefault="004C7FC8" w:rsidP="004C7FC8">
      <w:pPr>
        <w:pStyle w:val="Ttulo1"/>
        <w:jc w:val="both"/>
        <w:rPr>
          <w:rFonts w:ascii="Arial Black" w:hAnsi="Arial Black"/>
          <w:i/>
          <w:sz w:val="20"/>
          <w:szCs w:val="20"/>
        </w:rPr>
      </w:pPr>
      <w:r w:rsidRPr="004C7FC8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</w:t>
      </w:r>
      <w:r w:rsidR="002D0CA7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Pr="004C7FC8">
        <w:rPr>
          <w:rFonts w:ascii="Arial Black" w:hAnsi="Arial Black" w:cs="Tahoma"/>
          <w:i/>
          <w:noProof/>
          <w:sz w:val="20"/>
          <w:szCs w:val="18"/>
        </w:rPr>
        <w:t>EN ESCALA DE GRISES Y UTILIZANDO TRANSDUCTOR INTRACAVITARIO MULTIFRECUENCIAL, MUESTRA:</w:t>
      </w:r>
    </w:p>
    <w:p w:rsidR="00D569B0" w:rsidRPr="004C7FC8" w:rsidRDefault="00D569B0" w:rsidP="00D569B0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D569B0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Útero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AVF,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se encuentra aumentado de volumen en forma fisiológica,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mide </w:t>
      </w:r>
      <w:r w:rsidRPr="004C7FC8">
        <w:rPr>
          <w:rFonts w:ascii="Tahoma" w:hAnsi="Tahoma" w:cs="Tahoma"/>
          <w:i/>
          <w:noProof/>
          <w:sz w:val="20"/>
          <w:szCs w:val="20"/>
        </w:rPr>
        <w:t>77mm de longitud y medial en la cavidad pelviana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. Muestra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contornos uniformes y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ecotextura </w:t>
      </w:r>
      <w:r w:rsidRPr="004C7FC8">
        <w:rPr>
          <w:rFonts w:ascii="Tahoma" w:hAnsi="Tahoma" w:cs="Tahoma"/>
          <w:i/>
          <w:noProof/>
          <w:sz w:val="20"/>
          <w:szCs w:val="20"/>
        </w:rPr>
        <w:t>homogénea sin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evidencian de imágenes nodulares.</w:t>
      </w:r>
    </w:p>
    <w:p w:rsidR="005E106B" w:rsidRPr="004C7FC8" w:rsidRDefault="005E106B" w:rsidP="00D569B0">
      <w:pPr>
        <w:pStyle w:val="Ttulo1"/>
        <w:jc w:val="both"/>
        <w:rPr>
          <w:rFonts w:ascii="Tahoma" w:hAnsi="Tahoma" w:cs="Tahoma"/>
          <w:b w:val="0"/>
          <w:bCs w:val="0"/>
          <w:i/>
          <w:noProof/>
          <w:sz w:val="20"/>
          <w:szCs w:val="20"/>
        </w:rPr>
      </w:pPr>
      <w:r w:rsidRPr="004C7FC8">
        <w:rPr>
          <w:rFonts w:ascii="Tahoma" w:hAnsi="Tahoma" w:cs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 encuentra ocupado a nivel fúndico por saco gestacional único, redondeado, de bordes regulares, de 10mm de diámetro medio, con reacción decidual periférica incipiente.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No es delimitable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imágenes de colección en cavidad uterina.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A la fecha no se delimita imagen de botón embrionario ni de anillo vitelino.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Cuello uterino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de ecotextura homogénea sin evidencia de lesiones focales sólidas ni quísticas.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OCI cerrado.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derecho mide: </w:t>
      </w:r>
      <w:r w:rsidRPr="004C7FC8">
        <w:rPr>
          <w:rFonts w:ascii="Tahoma" w:hAnsi="Tahoma" w:cs="Tahoma"/>
          <w:i/>
          <w:noProof/>
          <w:sz w:val="20"/>
          <w:szCs w:val="20"/>
        </w:rPr>
        <w:t>30 x 11mm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izquierdo mide: </w:t>
      </w:r>
      <w:r w:rsidRPr="004C7FC8">
        <w:rPr>
          <w:rFonts w:ascii="Tahoma" w:hAnsi="Tahoma" w:cs="Tahoma"/>
          <w:i/>
          <w:noProof/>
          <w:sz w:val="20"/>
          <w:szCs w:val="20"/>
        </w:rPr>
        <w:t>29 x 15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m</w:t>
      </w:r>
      <w:r w:rsidRPr="004C7FC8">
        <w:rPr>
          <w:rFonts w:ascii="Tahoma" w:hAnsi="Tahoma" w:cs="Tahoma"/>
          <w:i/>
          <w:noProof/>
          <w:sz w:val="20"/>
          <w:szCs w:val="20"/>
        </w:rPr>
        <w:t>m.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569B0" w:rsidRPr="004C7FC8" w:rsidRDefault="00D569B0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S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aco de </w:t>
      </w:r>
      <w:r w:rsidRPr="004C7FC8">
        <w:rPr>
          <w:rFonts w:ascii="Tahoma" w:hAnsi="Tahoma" w:cs="Tahoma"/>
          <w:i/>
          <w:noProof/>
          <w:sz w:val="20"/>
          <w:szCs w:val="20"/>
        </w:rPr>
        <w:t>D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ouglas libre</w:t>
      </w:r>
      <w:r w:rsidRPr="004C7FC8">
        <w:rPr>
          <w:rFonts w:ascii="Tahoma" w:hAnsi="Tahoma" w:cs="Tahoma"/>
          <w:i/>
          <w:noProof/>
          <w:sz w:val="20"/>
          <w:szCs w:val="20"/>
        </w:rPr>
        <w:t>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CA353C" w:rsidRDefault="00CA353C" w:rsidP="00D569B0">
      <w:pPr>
        <w:widowControl w:val="0"/>
        <w:jc w:val="both"/>
        <w:rPr>
          <w:rFonts w:ascii="Arial Black" w:hAnsi="Arial Black" w:cs="Tahoma"/>
          <w:i/>
          <w:noProof/>
          <w:sz w:val="20"/>
          <w:szCs w:val="20"/>
          <w:u w:val="single"/>
        </w:rPr>
      </w:pPr>
      <w:r w:rsidRPr="00CA353C">
        <w:rPr>
          <w:rFonts w:ascii="Arial Black" w:hAnsi="Arial Black" w:cs="Tahoma"/>
          <w:i/>
          <w:noProof/>
          <w:sz w:val="20"/>
          <w:szCs w:val="20"/>
          <w:u w:val="single"/>
        </w:rPr>
        <w:t>HALLAZGOS ECOGRÁFICOS</w:t>
      </w:r>
      <w:r w:rsidR="005E106B" w:rsidRPr="00CA353C">
        <w:rPr>
          <w:rFonts w:ascii="Arial Black" w:hAnsi="Arial Black" w:cs="Tahoma"/>
          <w:i/>
          <w:noProof/>
          <w:sz w:val="20"/>
          <w:szCs w:val="20"/>
          <w:u w:val="single"/>
        </w:rPr>
        <w:t xml:space="preserve">: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HALLAZGOS ECOGR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>FICOS COMPATIBLES CON GESTACIÓN INICIAL DE 4 SEMANAS, 1 DÍA POR DI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METRO DEL SACO GESTACIONAL.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463782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S/S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CORRELACIONAR CON DATOS CL</w:t>
      </w:r>
      <w:r w:rsidR="004C7FC8">
        <w:rPr>
          <w:rFonts w:ascii="Tahoma" w:hAnsi="Tahoma" w:cs="Tahoma"/>
          <w:i/>
          <w:noProof/>
          <w:sz w:val="20"/>
          <w:szCs w:val="20"/>
        </w:rPr>
        <w:t>Í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NICOS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Y CONTROL POSTERIOR PARA DETERMINAR VIABILIDAD EMBRIONARIA.</w:t>
      </w: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FD1BD8" w:rsidRPr="004C7FC8" w:rsidRDefault="005E106B" w:rsidP="00D569B0">
      <w:pPr>
        <w:jc w:val="both"/>
        <w:rPr>
          <w:rFonts w:ascii="Tahoma" w:hAnsi="Tahoma" w:cs="Tahoma"/>
          <w:i/>
        </w:rPr>
      </w:pPr>
      <w:r w:rsidRPr="004C7FC8">
        <w:rPr>
          <w:rFonts w:ascii="Tahoma" w:hAnsi="Tahoma" w:cs="Tahoma"/>
          <w:i/>
          <w:sz w:val="20"/>
          <w:szCs w:val="20"/>
        </w:rPr>
        <w:t>Atentamente.</w:t>
      </w:r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5C68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0CA7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4882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1F58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353C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323D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8461C13-84BF-4869-9A1D-142A3F39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4C7FC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11</cp:revision>
  <cp:lastPrinted>2004-12-28T16:27:00Z</cp:lastPrinted>
  <dcterms:created xsi:type="dcterms:W3CDTF">2016-02-10T16:34:00Z</dcterms:created>
  <dcterms:modified xsi:type="dcterms:W3CDTF">2019-05-20T18:34:00Z</dcterms:modified>
</cp:coreProperties>
</file>