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98" w:rsidRPr="00F70796" w:rsidRDefault="005F2798" w:rsidP="005F2798">
      <w:pPr>
        <w:pStyle w:val="Puest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8466F">
        <w:rPr>
          <w:rFonts w:ascii="Tahoma" w:hAnsi="Tahoma" w:cs="Tahoma"/>
          <w:i/>
          <w:sz w:val="20"/>
          <w:szCs w:val="20"/>
        </w:rPr>
        <w:t>LUZ BERTHA PEREZ CRUZ Edad: 47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381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:rsidR="00296ABF" w:rsidRPr="008B414F" w:rsidRDefault="00C66697" w:rsidP="008B414F">
      <w:pPr>
        <w:pStyle w:val="Puesto"/>
        <w:jc w:val="both"/>
        <w:rPr>
          <w:rFonts w:ascii="Arial Black" w:hAnsi="Arial Black"/>
          <w:i/>
          <w:color w:val="000000"/>
          <w:sz w:val="18"/>
        </w:rPr>
      </w:pPr>
      <w:r w:rsidRPr="008B414F">
        <w:rPr>
          <w:rFonts w:ascii="Arial Black" w:hAnsi="Arial Black"/>
          <w:i/>
          <w:color w:val="000000"/>
          <w:sz w:val="18"/>
        </w:rPr>
        <w:t xml:space="preserve">EL ESTUDIO ULTRASONOGRÁFICO REALIZADO CON ECÓGRAFO MARCA ESAOTE MODELO </w:t>
      </w:r>
      <w:r w:rsidR="008B414F">
        <w:rPr>
          <w:rFonts w:ascii="Arial Black" w:hAnsi="Arial Black"/>
          <w:i/>
          <w:color w:val="000000"/>
          <w:sz w:val="18"/>
        </w:rPr>
        <w:t>MyLAB</w:t>
      </w:r>
      <w:r w:rsidRPr="008B414F">
        <w:rPr>
          <w:rFonts w:ascii="Arial Black" w:hAnsi="Arial Black"/>
          <w:i/>
          <w:color w:val="000000"/>
          <w:sz w:val="18"/>
        </w:rPr>
        <w:t xml:space="preserve"> 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4E6D99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</w:t>
      </w:r>
      <w:r w:rsidR="007F6BE2">
        <w:rPr>
          <w:rFonts w:ascii="Tahoma" w:hAnsi="Tahoma"/>
          <w:b w:val="0"/>
          <w:i/>
          <w:color w:val="000000"/>
          <w:sz w:val="20"/>
          <w:szCs w:val="20"/>
        </w:rPr>
        <w:t>118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296ABF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</w:t>
      </w:r>
      <w:r w:rsidR="007F6BE2">
        <w:rPr>
          <w:rFonts w:ascii="Tahoma" w:hAnsi="Tahoma" w:cs="Arial"/>
          <w:i/>
          <w:color w:val="000000"/>
          <w:sz w:val="20"/>
          <w:szCs w:val="20"/>
        </w:rPr>
        <w:t>tensión siendo sus medidas de 88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x 2</w:t>
      </w:r>
      <w:r w:rsidR="007F6BE2">
        <w:rPr>
          <w:rFonts w:ascii="Tahoma" w:hAnsi="Tahoma" w:cs="Arial"/>
          <w:i/>
          <w:color w:val="000000"/>
          <w:sz w:val="20"/>
          <w:szCs w:val="20"/>
        </w:rPr>
        <w:t>7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Al interior muestra múltiples imágenes hiperecogénicas con sombra sónica posterior siendo la mayor de 1</w:t>
      </w:r>
      <w:r w:rsidR="007F6BE2">
        <w:rPr>
          <w:rFonts w:ascii="Tahoma" w:hAnsi="Tahoma" w:cs="Arial"/>
          <w:i/>
          <w:color w:val="000000"/>
          <w:sz w:val="20"/>
          <w:szCs w:val="20"/>
        </w:rPr>
        <w:t>6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mm., de diámetro. 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</w:t>
      </w:r>
      <w:r w:rsidR="007F6BE2">
        <w:rPr>
          <w:rFonts w:ascii="Tahoma" w:hAnsi="Tahoma" w:cs="Arial"/>
          <w:i/>
          <w:color w:val="000000"/>
          <w:sz w:val="20"/>
          <w:szCs w:val="20"/>
        </w:rPr>
        <w:t xml:space="preserve"> conservado. Mide 67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FB2200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296ABF" w:rsidRDefault="007F6BE2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LITIASIS VESICULAR</w:t>
      </w:r>
      <w:bookmarkStart w:id="0" w:name="_GoBack"/>
      <w:bookmarkEnd w:id="0"/>
      <w:r w:rsidR="005F2798" w:rsidRPr="00296AB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17C12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66F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E6D99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3FF2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7F6BE2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F6BE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6B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18</cp:revision>
  <cp:lastPrinted>2019-04-27T14:28:00Z</cp:lastPrinted>
  <dcterms:created xsi:type="dcterms:W3CDTF">2016-02-10T16:05:00Z</dcterms:created>
  <dcterms:modified xsi:type="dcterms:W3CDTF">2019-04-27T14:29:00Z</dcterms:modified>
</cp:coreProperties>
</file>