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1A5E96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ESTELA CRUZ ALVAREZ </w:t>
      </w:r>
      <w:r w:rsidR="001A5E96">
        <w:rPr>
          <w:rFonts w:ascii="Tahoma" w:hAnsi="Tahoma" w:cs="Arial"/>
          <w:i/>
          <w:noProof/>
          <w:sz w:val="20"/>
          <w:szCs w:val="20"/>
        </w:rPr>
        <w:t xml:space="preserve">         </w:t>
      </w:r>
      <w:r>
        <w:rPr>
          <w:rFonts w:ascii="Tahoma" w:hAnsi="Tahoma" w:cs="Arial"/>
          <w:i/>
          <w:noProof/>
          <w:sz w:val="20"/>
          <w:szCs w:val="20"/>
        </w:rPr>
        <w:t>Edad: 34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Longitudi</w:t>
      </w:r>
      <w:r w:rsidR="001A5E96">
        <w:rPr>
          <w:rFonts w:ascii="Tahoma" w:hAnsi="Tahoma" w:cs="Arial"/>
          <w:i/>
          <w:color w:val="000000"/>
          <w:sz w:val="20"/>
          <w:szCs w:val="20"/>
        </w:rPr>
        <w:t>nal</w:t>
      </w:r>
      <w:r w:rsidR="001A5E96">
        <w:rPr>
          <w:rFonts w:ascii="Tahoma" w:hAnsi="Tahoma" w:cs="Arial"/>
          <w:i/>
          <w:color w:val="000000"/>
          <w:sz w:val="20"/>
          <w:szCs w:val="20"/>
        </w:rPr>
        <w:tab/>
      </w:r>
      <w:r w:rsidR="001A5E96">
        <w:rPr>
          <w:rFonts w:ascii="Tahoma" w:hAnsi="Tahoma" w:cs="Arial"/>
          <w:i/>
          <w:color w:val="000000"/>
          <w:sz w:val="20"/>
          <w:szCs w:val="20"/>
        </w:rPr>
        <w:tab/>
      </w:r>
      <w:r w:rsidR="001A5E96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A5E96"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1A5E9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A5E96" w:rsidRDefault="001A5E9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1A5E9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67cc.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1A5E96">
        <w:rPr>
          <w:rFonts w:ascii="Tahoma" w:hAnsi="Tahoma" w:cs="Arial"/>
          <w:i/>
          <w:color w:val="000000"/>
          <w:sz w:val="20"/>
          <w:szCs w:val="20"/>
        </w:rPr>
        <w:t>ometrio de aspecto secretor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1A5E96">
        <w:rPr>
          <w:rFonts w:ascii="Tahoma" w:hAnsi="Tahoma" w:cs="Arial"/>
          <w:i/>
          <w:color w:val="000000"/>
          <w:sz w:val="20"/>
          <w:szCs w:val="20"/>
        </w:rPr>
        <w:t>10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  <w:r w:rsidR="001A5E96">
        <w:rPr>
          <w:rFonts w:ascii="Tahoma" w:hAnsi="Tahoma" w:cs="Arial"/>
          <w:i/>
          <w:color w:val="000000"/>
          <w:sz w:val="20"/>
          <w:szCs w:val="20"/>
        </w:rPr>
        <w:t xml:space="preserve"> No se evidencia saco gestacional al momento del estudio.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1A5E96">
        <w:rPr>
          <w:rFonts w:ascii="Tahoma" w:hAnsi="Tahoma" w:cs="Arial"/>
          <w:i/>
          <w:color w:val="000000"/>
          <w:sz w:val="20"/>
          <w:szCs w:val="20"/>
        </w:rPr>
        <w:t xml:space="preserve"> tamaño conservado, mide 31 x 22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1A5E96">
        <w:rPr>
          <w:rFonts w:ascii="Tahoma" w:hAnsi="Tahoma" w:cs="Arial"/>
          <w:i/>
          <w:color w:val="000000"/>
          <w:sz w:val="20"/>
          <w:szCs w:val="20"/>
        </w:rPr>
        <w:t xml:space="preserve"> tamaño conservado, mide 35 x 22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  <w:r w:rsidR="001A5E96">
        <w:rPr>
          <w:rFonts w:ascii="Tahoma" w:hAnsi="Tahoma" w:cs="Arial"/>
          <w:i/>
          <w:color w:val="000000"/>
          <w:sz w:val="20"/>
          <w:szCs w:val="20"/>
        </w:rPr>
        <w:t>Se aprecia folículo dominante el cual mide 16 x 10mm que pudiese corresponder al cuerpo lúteo del embarazo.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1A5E96">
        <w:rPr>
          <w:rFonts w:ascii="Tahoma" w:hAnsi="Tahoma" w:cs="Arial"/>
          <w:bCs/>
          <w:i/>
          <w:color w:val="000000"/>
          <w:sz w:val="20"/>
          <w:szCs w:val="20"/>
        </w:rPr>
        <w:t>iquido libre de mediana cantidad.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1A5E96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1A5E96" w:rsidRDefault="001A5E96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LIQUIDO LIBRE EN SACO DE DOUGLAS DE EAD. D/C EPI. </w:t>
      </w:r>
    </w:p>
    <w:p w:rsidR="001A5E96" w:rsidRDefault="001A5E96" w:rsidP="001A5E9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A5E96" w:rsidRPr="00694AFE" w:rsidRDefault="001A5E96" w:rsidP="001A5E9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SUGIERRE CORRELACIONAR CON EXAMENES DE LABORATORIO (BHCG CUANTIFICADA) Y ECOGRAFIA POSTERIOR.</w:t>
      </w:r>
      <w:bookmarkStart w:id="0" w:name="_GoBack"/>
      <w:bookmarkEnd w:id="0"/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6EB6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5E96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39A238-982C-4231-A012-F641FAD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A5E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A5E9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2019-04-27T20:23:00Z</cp:lastPrinted>
  <dcterms:created xsi:type="dcterms:W3CDTF">2016-02-10T16:11:00Z</dcterms:created>
  <dcterms:modified xsi:type="dcterms:W3CDTF">2019-04-27T20:30:00Z</dcterms:modified>
</cp:coreProperties>
</file>