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SHIRLEY VALETTIA ESQUIVEL GUTIERREZ </w:t>
      </w:r>
      <w:r w:rsidR="00AB5E60">
        <w:rPr>
          <w:rFonts w:ascii="Tahoma" w:hAnsi="Tahoma" w:cs="Tahoma"/>
          <w:i/>
          <w:sz w:val="20"/>
          <w:szCs w:val="20"/>
        </w:rPr>
        <w:t xml:space="preserve">   </w:t>
      </w:r>
      <w:r w:rsidR="00D73208">
        <w:rPr>
          <w:rFonts w:ascii="Tahoma" w:hAnsi="Tahoma" w:cs="Tahoma"/>
          <w:i/>
          <w:sz w:val="20"/>
          <w:szCs w:val="20"/>
        </w:rPr>
        <w:t>Edad: 28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AB5E60">
        <w:rPr>
          <w:rFonts w:ascii="Tahoma" w:hAnsi="Tahoma" w:cs="Arial"/>
          <w:i/>
          <w:sz w:val="20"/>
          <w:szCs w:val="20"/>
        </w:rPr>
        <w:t xml:space="preserve"> …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="00AB5E60">
        <w:rPr>
          <w:rFonts w:ascii="Arial Black" w:hAnsi="Arial Black" w:cs="Tahoma"/>
          <w:i/>
          <w:noProof/>
          <w:sz w:val="18"/>
          <w:szCs w:val="18"/>
        </w:rPr>
        <w:t xml:space="preserve"> 60 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</w:t>
      </w:r>
      <w:r w:rsidR="00AB5E60">
        <w:rPr>
          <w:rFonts w:ascii="Arial Black" w:hAnsi="Arial Black" w:cs="Tahoma"/>
          <w:i/>
          <w:noProof/>
          <w:sz w:val="18"/>
          <w:szCs w:val="18"/>
        </w:rPr>
        <w:t xml:space="preserve"> INTRACAVITARIO </w:t>
      </w:r>
      <w:r w:rsidRPr="005F0613">
        <w:rPr>
          <w:rFonts w:ascii="Arial Black" w:hAnsi="Arial Black" w:cs="Tahoma"/>
          <w:i/>
          <w:noProof/>
          <w:sz w:val="18"/>
          <w:szCs w:val="18"/>
        </w:rPr>
        <w:t xml:space="preserve">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  <w:r w:rsidR="00AB5E60">
        <w:rPr>
          <w:rFonts w:ascii="Tahoma" w:hAnsi="Tahoma" w:cs="Tahoma"/>
          <w:i/>
          <w:color w:val="000000"/>
          <w:szCs w:val="20"/>
        </w:rPr>
        <w:t xml:space="preserve">  Útero mide en sentido longitudinal 80 mm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="00AB5E60">
        <w:rPr>
          <w:rFonts w:ascii="Tahoma" w:hAnsi="Tahoma" w:cs="Tahoma"/>
          <w:i/>
          <w:color w:val="000000"/>
          <w:szCs w:val="20"/>
        </w:rPr>
        <w:t xml:space="preserve">, el cual mide 7 mm de </w:t>
      </w:r>
      <w:proofErr w:type="spellStart"/>
      <w:r w:rsidR="00AB5E60">
        <w:rPr>
          <w:rFonts w:ascii="Tahoma" w:hAnsi="Tahoma" w:cs="Tahoma"/>
          <w:i/>
          <w:color w:val="000000"/>
          <w:szCs w:val="20"/>
        </w:rPr>
        <w:t>diametro</w:t>
      </w:r>
      <w:proofErr w:type="spellEnd"/>
      <w:r w:rsidR="00AB5E60">
        <w:rPr>
          <w:rFonts w:ascii="Tahoma" w:hAnsi="Tahoma" w:cs="Tahoma"/>
          <w:i/>
          <w:color w:val="000000"/>
          <w:szCs w:val="20"/>
        </w:rPr>
        <w:t xml:space="preserve"> medio, muestra reacción coriodecidual adecuada. 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>mide 25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muestra en su interior imagen quística de bordes engrosados irregulares de 18 mm de </w:t>
      </w:r>
      <w:proofErr w:type="spellStart"/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>diametro</w:t>
      </w:r>
      <w:proofErr w:type="spellEnd"/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 xml:space="preserve"> medio, muestra “el signo del anillo de fuego”, lo cual es compatible con cuerpo </w:t>
      </w:r>
      <w:proofErr w:type="spellStart"/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>luteo</w:t>
      </w:r>
      <w:proofErr w:type="spellEnd"/>
      <w:r w:rsidR="00AB5E6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B5E6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AB5E60">
        <w:rPr>
          <w:rFonts w:ascii="Tahoma" w:hAnsi="Tahoma" w:cs="Tahoma"/>
          <w:i/>
          <w:color w:val="000000"/>
          <w:sz w:val="20"/>
          <w:szCs w:val="20"/>
        </w:rPr>
        <w:t>DE 4.5 SEMANAS POR BIOMETRIA DE SACO GESTACIONAL.</w:t>
      </w:r>
    </w:p>
    <w:p w:rsidR="00056498" w:rsidRPr="00AB5E60" w:rsidRDefault="00AB5E60" w:rsidP="002C0D8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B5E60">
        <w:rPr>
          <w:rFonts w:ascii="Tahoma" w:hAnsi="Tahoma" w:cs="Tahoma"/>
          <w:i/>
          <w:color w:val="000000"/>
          <w:sz w:val="20"/>
          <w:szCs w:val="20"/>
        </w:rPr>
        <w:t xml:space="preserve">SE SUGIERE CONTROL POSTERIOR PARA EVALUAR VIABILIDAD EMBRIONARIA. 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5E60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B5E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B5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2019-04-28T01:53:00Z</cp:lastPrinted>
  <dcterms:created xsi:type="dcterms:W3CDTF">2016-02-10T16:16:00Z</dcterms:created>
  <dcterms:modified xsi:type="dcterms:W3CDTF">2019-04-28T01:54:00Z</dcterms:modified>
</cp:coreProperties>
</file>