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RICARDO PAUL GRANADOS ÑOPE Edad: 25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15690C" w:rsidRPr="005D2038" w:rsidRDefault="0015690C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15690C">
        <w:rPr>
          <w:rFonts w:ascii="Times New Roman" w:eastAsiaTheme="minorHAnsi" w:hAnsi="Times New Roman"/>
          <w:sz w:val="24"/>
        </w:rPr>
        <w:t>95.6</w:t>
      </w:r>
      <w:r>
        <w:rPr>
          <w:rFonts w:ascii="Times New Roman" w:eastAsiaTheme="minorHAnsi" w:hAnsi="Times New Roman"/>
          <w:sz w:val="24"/>
        </w:rPr>
        <w:t xml:space="preserve"> </w:t>
      </w:r>
      <w:r w:rsidR="0015690C">
        <w:rPr>
          <w:rFonts w:ascii="Times New Roman" w:eastAsiaTheme="minorHAnsi" w:hAnsi="Times New Roman"/>
          <w:sz w:val="24"/>
        </w:rPr>
        <w:t xml:space="preserve">mg/dl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15690C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15690C"/>
    <w:rsid w:val="00473290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2019-04-30T17:05:00Z</cp:lastPrinted>
  <dcterms:created xsi:type="dcterms:W3CDTF">2016-02-15T16:05:00Z</dcterms:created>
  <dcterms:modified xsi:type="dcterms:W3CDTF">2019-04-30T17:05:00Z</dcterms:modified>
</cp:coreProperties>
</file>