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LIMASCCA GUTIERREZ BRIGIDA Edad: 25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5F6AE1">
              <w:rPr>
                <w:rFonts w:ascii="Times New Roman" w:hAnsi="Times New Roman"/>
                <w:sz w:val="24"/>
                <w:szCs w:val="24"/>
                <w:lang w:val="es-PE"/>
              </w:rPr>
              <w:t>Regular cantidad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5F6AE1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6-8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Hematíes: </w:t>
            </w:r>
            <w:r w:rsidR="005F6AE1">
              <w:rPr>
                <w:rFonts w:ascii="Times New Roman" w:hAnsi="Times New Roman"/>
                <w:sz w:val="24"/>
                <w:szCs w:val="24"/>
                <w:lang w:val="es-PE"/>
              </w:rPr>
              <w:t>2-3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5F6AE1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: 1 +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5F6AE1" w:rsidP="005F6AE1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Bacilos Gram Positivos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5F6AE1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F6AE1"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/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>
      <w:bookmarkStart w:id="0" w:name="_GoBack"/>
      <w:bookmarkEnd w:id="0"/>
    </w:p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A5190"/>
    <w:rsid w:val="005F6AE1"/>
    <w:rsid w:val="0096110A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2019-05-06T14:38:00Z</dcterms:modified>
</cp:coreProperties>
</file>