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HERNANDEZ GUTIERREZ MARIA FERNANDA Edad: 26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6E21E1" w:rsidRPr="002F17B8" w:rsidRDefault="006E21E1" w:rsidP="00677391">
      <w:pPr>
        <w:rPr>
          <w:rFonts w:ascii="Berlin Sans FB Demi" w:hAnsi="Berlin Sans FB Demi"/>
          <w:b/>
          <w:sz w:val="24"/>
          <w:u w:val="single"/>
        </w:rPr>
      </w:pP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6E21E1">
        <w:rPr>
          <w:rFonts w:ascii="Times New Roman" w:hAnsi="Times New Roman"/>
          <w:sz w:val="24"/>
        </w:rPr>
        <w:t xml:space="preserve">                   150.0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 w:rsidR="006E21E1">
        <w:rPr>
          <w:rFonts w:ascii="Times New Roman" w:hAnsi="Times New Roman"/>
          <w:sz w:val="24"/>
        </w:rPr>
        <w:t xml:space="preserve">         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6E21E1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2019-05-03T17:52:00Z</dcterms:modified>
</cp:coreProperties>
</file>