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LIMASCCA RODAS ANA MARIA Edad: 40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4E7F40" w:rsidRPr="004E7F40" w:rsidRDefault="008403E7" w:rsidP="004E7F40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Tejido glandular mamario de ecotextura </w:t>
      </w:r>
      <w:r w:rsidR="004E7F40" w:rsidRPr="0095519B">
        <w:rPr>
          <w:rFonts w:ascii="Tahoma" w:hAnsi="Tahoma" w:cs="Tahoma"/>
          <w:i/>
          <w:sz w:val="20"/>
          <w:szCs w:val="20"/>
        </w:rPr>
        <w:t>heterogénea,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se aprecia 01 imagen nodular hipoecogénica de bordes lobulares, paredes definidas de adecuada interfase con los planos adyacentes </w:t>
      </w:r>
      <w:r w:rsidR="004E7F40">
        <w:rPr>
          <w:rFonts w:ascii="Tahoma" w:hAnsi="Tahoma" w:cs="Tahoma"/>
          <w:i/>
          <w:sz w:val="20"/>
          <w:szCs w:val="20"/>
        </w:rPr>
        <w:t>cuyo diámetro es de 7 x 4</w:t>
      </w:r>
      <w:r w:rsidR="004E7F40" w:rsidRPr="004E7F40">
        <w:rPr>
          <w:rFonts w:ascii="Tahoma" w:hAnsi="Tahoma" w:cs="Tahoma"/>
          <w:i/>
          <w:sz w:val="20"/>
          <w:szCs w:val="20"/>
        </w:rPr>
        <w:t>mm</w:t>
      </w:r>
      <w:r w:rsidR="004E7F40">
        <w:rPr>
          <w:rFonts w:ascii="Tahoma" w:hAnsi="Tahoma" w:cs="Tahoma"/>
          <w:i/>
          <w:sz w:val="20"/>
          <w:szCs w:val="20"/>
        </w:rPr>
        <w:t>., el cual se proyecta en el CSI hacia R1</w:t>
      </w:r>
      <w:r w:rsidR="004E7F40" w:rsidRPr="004E7F40">
        <w:rPr>
          <w:rFonts w:ascii="Tahoma" w:hAnsi="Tahoma" w:cs="Tahoma"/>
          <w:i/>
          <w:sz w:val="20"/>
          <w:szCs w:val="20"/>
        </w:rPr>
        <w:t>, asim</w:t>
      </w:r>
      <w:r w:rsidR="004E7F40">
        <w:rPr>
          <w:rFonts w:ascii="Tahoma" w:hAnsi="Tahoma" w:cs="Tahoma"/>
          <w:i/>
          <w:sz w:val="20"/>
          <w:szCs w:val="20"/>
        </w:rPr>
        <w:t>ismo se objetivan hasta 01 imagen quística simple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</w:t>
      </w:r>
      <w:r w:rsidR="004E7F40">
        <w:rPr>
          <w:rFonts w:ascii="Tahoma" w:hAnsi="Tahoma" w:cs="Tahoma"/>
          <w:i/>
          <w:sz w:val="20"/>
          <w:szCs w:val="20"/>
        </w:rPr>
        <w:t xml:space="preserve">el cual se proyecta en el </w:t>
      </w:r>
      <w:r w:rsidR="004E7F40">
        <w:rPr>
          <w:rFonts w:ascii="Tahoma" w:hAnsi="Tahoma" w:cs="Tahoma"/>
          <w:i/>
          <w:sz w:val="20"/>
          <w:szCs w:val="20"/>
        </w:rPr>
        <w:t>CSE hacia R10 presenta pared delgada</w:t>
      </w:r>
      <w:r w:rsidR="004E7F40" w:rsidRPr="004E7F40">
        <w:rPr>
          <w:rFonts w:ascii="Tahoma" w:hAnsi="Tahoma" w:cs="Tahoma"/>
          <w:i/>
          <w:sz w:val="20"/>
          <w:szCs w:val="20"/>
        </w:rPr>
        <w:t>, contenido liquido homogéneo y refuerzo posterior.</w:t>
      </w:r>
    </w:p>
    <w:p w:rsidR="008403E7" w:rsidRPr="0095519B" w:rsidRDefault="004E7F40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17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4E7F40" w:rsidRPr="004E7F40" w:rsidRDefault="008403E7" w:rsidP="004E7F40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Tejido glandular de ecogenicidad </w:t>
      </w:r>
      <w:r w:rsidR="004E7F40" w:rsidRPr="004E7F40">
        <w:rPr>
          <w:rFonts w:ascii="Tahoma" w:hAnsi="Tahoma" w:cs="Tahoma"/>
          <w:i/>
          <w:sz w:val="20"/>
          <w:szCs w:val="20"/>
        </w:rPr>
        <w:t>heterogénea</w:t>
      </w:r>
      <w:r w:rsidR="004E7F40" w:rsidRPr="004E7F40">
        <w:rPr>
          <w:rFonts w:ascii="Tahoma" w:hAnsi="Tahoma" w:cs="Tahoma"/>
          <w:i/>
          <w:sz w:val="20"/>
          <w:szCs w:val="20"/>
        </w:rPr>
        <w:t>, se aprecia 02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</w:t>
      </w:r>
      <w:r w:rsidR="004E7F40" w:rsidRPr="004E7F40">
        <w:rPr>
          <w:rFonts w:ascii="Tahoma" w:hAnsi="Tahoma" w:cs="Tahoma"/>
          <w:i/>
          <w:sz w:val="20"/>
          <w:szCs w:val="20"/>
        </w:rPr>
        <w:t>imágenes nodulares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</w:t>
      </w:r>
      <w:r w:rsidR="004E7F40" w:rsidRPr="004E7F40">
        <w:rPr>
          <w:rFonts w:ascii="Tahoma" w:hAnsi="Tahoma" w:cs="Tahoma"/>
          <w:i/>
          <w:sz w:val="20"/>
          <w:szCs w:val="20"/>
        </w:rPr>
        <w:t>hipoecogénicas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de bordes regulares definidos de adecuada interfase con los planos adyacentes cuyo diámetro es </w:t>
      </w:r>
      <w:r w:rsidR="004E7F40">
        <w:rPr>
          <w:rFonts w:ascii="Tahoma" w:hAnsi="Tahoma" w:cs="Tahoma"/>
          <w:i/>
          <w:sz w:val="20"/>
          <w:szCs w:val="20"/>
        </w:rPr>
        <w:t>de 10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</w:t>
      </w:r>
      <w:r w:rsidR="004E7F40">
        <w:rPr>
          <w:rFonts w:ascii="Tahoma" w:hAnsi="Tahoma" w:cs="Tahoma"/>
          <w:i/>
          <w:sz w:val="20"/>
          <w:szCs w:val="20"/>
        </w:rPr>
        <w:t>x 06</w:t>
      </w:r>
      <w:r w:rsidR="004E7F40" w:rsidRPr="004E7F40">
        <w:rPr>
          <w:rFonts w:ascii="Tahoma" w:hAnsi="Tahoma" w:cs="Tahoma"/>
          <w:i/>
          <w:sz w:val="20"/>
          <w:szCs w:val="20"/>
        </w:rPr>
        <w:t>m</w:t>
      </w:r>
      <w:r w:rsidR="004E7F40">
        <w:rPr>
          <w:rFonts w:ascii="Tahoma" w:hAnsi="Tahoma" w:cs="Tahoma"/>
          <w:i/>
          <w:sz w:val="20"/>
          <w:szCs w:val="20"/>
        </w:rPr>
        <w:t>m., en el CIE hacia R6 y de 8 x 7mm en el</w:t>
      </w:r>
      <w:r w:rsidR="00420132">
        <w:rPr>
          <w:rFonts w:ascii="Tahoma" w:hAnsi="Tahoma" w:cs="Tahoma"/>
          <w:i/>
          <w:sz w:val="20"/>
          <w:szCs w:val="20"/>
        </w:rPr>
        <w:t xml:space="preserve"> CSI hacia R11,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asimismo se objetivan hasta 03 imágenes quísticas simples en proyección de los cuadrantes inferior </w:t>
      </w:r>
      <w:r w:rsidR="00420132">
        <w:rPr>
          <w:rFonts w:ascii="Tahoma" w:hAnsi="Tahoma" w:cs="Tahoma"/>
          <w:i/>
          <w:sz w:val="20"/>
          <w:szCs w:val="20"/>
        </w:rPr>
        <w:t xml:space="preserve">interno y </w:t>
      </w:r>
      <w:r w:rsidR="00420132" w:rsidRPr="004E7F40">
        <w:rPr>
          <w:rFonts w:ascii="Tahoma" w:hAnsi="Tahoma" w:cs="Tahoma"/>
          <w:i/>
          <w:sz w:val="20"/>
          <w:szCs w:val="20"/>
        </w:rPr>
        <w:t xml:space="preserve">externo </w:t>
      </w:r>
      <w:r w:rsidR="00420132">
        <w:rPr>
          <w:rFonts w:ascii="Tahoma" w:hAnsi="Tahoma" w:cs="Tahoma"/>
          <w:i/>
          <w:sz w:val="20"/>
          <w:szCs w:val="20"/>
        </w:rPr>
        <w:t xml:space="preserve">siendo el mayor de 10 x 4mm. </w:t>
      </w:r>
      <w:proofErr w:type="gramStart"/>
      <w:r w:rsidR="00420132">
        <w:rPr>
          <w:rFonts w:ascii="Tahoma" w:hAnsi="Tahoma" w:cs="Tahoma"/>
          <w:i/>
          <w:sz w:val="20"/>
          <w:szCs w:val="20"/>
        </w:rPr>
        <w:t>de</w:t>
      </w:r>
      <w:proofErr w:type="gramEnd"/>
      <w:r w:rsidR="00420132">
        <w:rPr>
          <w:rFonts w:ascii="Tahoma" w:hAnsi="Tahoma" w:cs="Tahoma"/>
          <w:i/>
          <w:sz w:val="20"/>
          <w:szCs w:val="20"/>
        </w:rPr>
        <w:t xml:space="preserve"> diámetro, en</w:t>
      </w:r>
      <w:r w:rsidR="004E7F40" w:rsidRPr="004E7F40">
        <w:rPr>
          <w:rFonts w:ascii="Tahoma" w:hAnsi="Tahoma" w:cs="Tahoma"/>
          <w:i/>
          <w:sz w:val="20"/>
          <w:szCs w:val="20"/>
        </w:rPr>
        <w:t xml:space="preserve"> estas imágenes presentan paredes delgadas, contenido liquido homogéneo y refuerzo posterior.</w:t>
      </w:r>
    </w:p>
    <w:p w:rsidR="008403E7" w:rsidRPr="0095519B" w:rsidRDefault="00420132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17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420132" w:rsidRPr="00420132" w:rsidRDefault="00420132" w:rsidP="0042013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20132">
        <w:rPr>
          <w:rFonts w:ascii="Tahoma" w:hAnsi="Tahoma" w:cs="Tahoma"/>
          <w:i/>
          <w:sz w:val="20"/>
          <w:szCs w:val="20"/>
        </w:rPr>
        <w:t>HALLAZGOS ECOGRAFICOS EN RELACION CON FIBROADENOMA BILATERAL + QUIS</w:t>
      </w:r>
      <w:bookmarkStart w:id="0" w:name="_GoBack"/>
      <w:bookmarkEnd w:id="0"/>
      <w:r w:rsidRPr="00420132">
        <w:rPr>
          <w:rFonts w:ascii="Tahoma" w:hAnsi="Tahoma" w:cs="Tahoma"/>
          <w:i/>
          <w:sz w:val="20"/>
          <w:szCs w:val="20"/>
        </w:rPr>
        <w:t>TES SIMPLES INVOLUCRANDO AMBAS MAMAS</w:t>
      </w:r>
      <w:r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0132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E7F40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2B8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201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20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2019-05-06T15:58:00Z</cp:lastPrinted>
  <dcterms:created xsi:type="dcterms:W3CDTF">2016-02-10T16:12:00Z</dcterms:created>
  <dcterms:modified xsi:type="dcterms:W3CDTF">2019-05-06T16:18:00Z</dcterms:modified>
</cp:coreProperties>
</file>