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EE" w:rsidRPr="00763F41" w:rsidRDefault="00391CEE" w:rsidP="00391CEE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r w:rsidRPr="00763F41">
        <w:rPr>
          <w:rFonts w:ascii="Arial Black" w:hAnsi="Arial Black"/>
          <w:i/>
          <w:color w:val="000000"/>
          <w:sz w:val="26"/>
          <w:u w:val="single"/>
        </w:rPr>
        <w:t xml:space="preserve">INFORME </w:t>
      </w:r>
      <w:r w:rsidR="00D5304D" w:rsidRPr="00763F41">
        <w:rPr>
          <w:rFonts w:ascii="Arial Black" w:hAnsi="Arial Black"/>
          <w:i/>
          <w:color w:val="000000"/>
          <w:sz w:val="26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37E2B">
        <w:rPr>
          <w:rFonts w:ascii="Tahoma" w:hAnsi="Tahoma" w:cs="Tahoma"/>
          <w:i/>
          <w:sz w:val="20"/>
          <w:szCs w:val="20"/>
        </w:rPr>
        <w:t>VILLANO GUTIERREZ JANE SHIRLEY Edad: 25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283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07-05-2019</w:t>
      </w:r>
    </w:p>
    <w:p w:rsidR="00391CEE" w:rsidRPr="006920B1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</w:p>
    <w:p w:rsidR="00391CEE" w:rsidRPr="00907EC6" w:rsidRDefault="006920B1" w:rsidP="00D5304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18"/>
        </w:rPr>
      </w:pP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MyLAB </w:t>
      </w: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3C6FA3" w:rsidRPr="006920B1" w:rsidRDefault="003C6FA3" w:rsidP="00D5304D">
      <w:pPr>
        <w:pStyle w:val="Ttulo3"/>
        <w:jc w:val="both"/>
        <w:rPr>
          <w:rFonts w:ascii="Tahoma" w:hAnsi="Tahoma"/>
          <w:i/>
          <w:color w:val="000000"/>
          <w:szCs w:val="20"/>
        </w:rPr>
      </w:pPr>
    </w:p>
    <w:p w:rsidR="00D5304D" w:rsidRPr="006920B1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i/>
          <w:color w:val="000000"/>
          <w:szCs w:val="20"/>
          <w:u w:val="single"/>
        </w:rPr>
        <w:t>HÍGADO</w:t>
      </w:r>
      <w:r w:rsidR="001F668E" w:rsidRPr="006920B1">
        <w:rPr>
          <w:rFonts w:ascii="Tahoma" w:hAnsi="Tahoma"/>
          <w:i/>
          <w:color w:val="000000"/>
          <w:szCs w:val="20"/>
        </w:rPr>
        <w:t>: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De situación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habitual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y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tamaño conservado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 en atención al grupo etario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, m</w:t>
      </w:r>
      <w:r w:rsidR="00CD2143">
        <w:rPr>
          <w:rFonts w:ascii="Tahoma" w:hAnsi="Tahoma"/>
          <w:b w:val="0"/>
          <w:i/>
          <w:color w:val="000000"/>
          <w:szCs w:val="20"/>
        </w:rPr>
        <w:t>ide 130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mm de longitud a nivel del LHD.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Muestra bordes definidos,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ecogenicidad parenquimal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conservada y ecotextura homogénea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sin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de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>lesiones focales solidas ni quísticas.</w:t>
      </w:r>
    </w:p>
    <w:p w:rsidR="00D5304D" w:rsidRPr="006920B1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Conductos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biliares,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vasos suprahepáticos y periportales </w:t>
      </w:r>
      <w:r w:rsidRPr="006920B1">
        <w:rPr>
          <w:rFonts w:ascii="Tahoma" w:hAnsi="Tahoma"/>
          <w:b w:val="0"/>
          <w:i/>
          <w:color w:val="000000"/>
          <w:szCs w:val="20"/>
        </w:rPr>
        <w:t>conservados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Vena </w:t>
      </w:r>
      <w:r w:rsidR="00CD2143">
        <w:rPr>
          <w:rFonts w:ascii="Tahoma" w:hAnsi="Tahoma"/>
          <w:b w:val="0"/>
          <w:i/>
          <w:color w:val="000000"/>
          <w:szCs w:val="20"/>
        </w:rPr>
        <w:t>Porta mide 6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mm.</w:t>
      </w:r>
      <w:r w:rsidRPr="006920B1">
        <w:rPr>
          <w:rFonts w:ascii="Tahoma" w:hAnsi="Tahoma"/>
          <w:b w:val="0"/>
          <w:i/>
          <w:color w:val="000000"/>
          <w:szCs w:val="20"/>
        </w:rPr>
        <w:t>, de diámetro AP.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6920B1">
        <w:rPr>
          <w:rFonts w:ascii="Tahoma" w:hAnsi="Tahoma"/>
          <w:b w:val="0"/>
          <w:i/>
          <w:color w:val="000000"/>
          <w:szCs w:val="20"/>
        </w:rPr>
        <w:t xml:space="preserve">Espacio de Morrison libre de colecciones.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304D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habitual,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presenta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forma p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iriforme y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adecuada distensión</w:t>
      </w:r>
      <w:r w:rsidR="00CD2143">
        <w:rPr>
          <w:rFonts w:ascii="Tahoma" w:hAnsi="Tahoma" w:cs="Arial"/>
          <w:i/>
          <w:color w:val="000000"/>
          <w:sz w:val="20"/>
          <w:szCs w:val="20"/>
        </w:rPr>
        <w:t xml:space="preserve"> siendo sus medidas de 68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x 2</w:t>
      </w:r>
      <w:r w:rsidR="00CD2143">
        <w:rPr>
          <w:rFonts w:ascii="Tahoma" w:hAnsi="Tahoma" w:cs="Arial"/>
          <w:i/>
          <w:color w:val="000000"/>
          <w:sz w:val="20"/>
          <w:szCs w:val="20"/>
        </w:rPr>
        <w:t>8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en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longitudinal y AP. </w:t>
      </w:r>
    </w:p>
    <w:p w:rsidR="00D5304D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M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uestra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pared de espesor conservado, mide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2</w:t>
      </w:r>
      <w:r w:rsidR="00CD2143">
        <w:rPr>
          <w:rFonts w:ascii="Tahoma" w:hAnsi="Tahoma" w:cs="Arial"/>
          <w:i/>
          <w:color w:val="000000"/>
          <w:sz w:val="20"/>
          <w:szCs w:val="20"/>
        </w:rPr>
        <w:t>.2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, de espesor.</w:t>
      </w:r>
    </w:p>
    <w:p w:rsidR="00763F4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El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contenido líquido es homogéneo sin evidencia 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imágenes litiásicas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, pólipos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barro biliar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ni masas al interior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Colédoco proximal, mide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3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de diámetro AP. 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situación habitual y tamaño conservado, mide 24mm., de diámetro AP a nivel de la cabeza. Muestra ecotextura homogénea y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ecogenicidad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conservada.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De situación habitu</w:t>
      </w:r>
      <w:r w:rsidR="00CD2143">
        <w:rPr>
          <w:rFonts w:ascii="Tahoma" w:hAnsi="Tahoma" w:cs="Arial"/>
          <w:i/>
          <w:color w:val="000000"/>
          <w:sz w:val="20"/>
          <w:szCs w:val="20"/>
        </w:rPr>
        <w:t>al y tamaño conservado. Mide 67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</w:t>
      </w:r>
      <w:r w:rsidR="00064C1B" w:rsidRPr="006920B1">
        <w:rPr>
          <w:rFonts w:ascii="Tahoma" w:hAnsi="Tahoma" w:cs="Arial"/>
          <w:i/>
          <w:color w:val="000000"/>
          <w:sz w:val="20"/>
          <w:szCs w:val="20"/>
        </w:rPr>
        <w:t>longitud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Muestra ecotextura homogénea sin evidencia de lesiones focales sólidas, quísticas ni focos de colección. Los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bordes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son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regulares y lisos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F668E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Visible 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en su porción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antral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, evidencia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espesor conservado del plano muscular el cual alcanza </w:t>
      </w:r>
      <w:r w:rsidR="00CD2143">
        <w:rPr>
          <w:rFonts w:ascii="Tahoma" w:hAnsi="Tahoma" w:cs="Arial"/>
          <w:i/>
          <w:color w:val="000000"/>
          <w:sz w:val="20"/>
          <w:szCs w:val="20"/>
        </w:rPr>
        <w:t>3.4</w:t>
      </w:r>
      <w:r w:rsidR="00CD2143" w:rsidRPr="006920B1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mago no valorables por esta modalidad diagn</w:t>
      </w:r>
      <w:r w:rsidR="00A3033F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="00A9553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Arteria ao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rta y vena cava inferior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calibre y trayect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o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conservad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o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F668E" w:rsidRPr="00907EC6" w:rsidRDefault="00B71C29" w:rsidP="00D5304D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907EC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1F668E" w:rsidRPr="00907EC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1F668E" w:rsidRPr="00CD2143" w:rsidRDefault="001F668E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É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STICA.</w:t>
      </w:r>
    </w:p>
    <w:p w:rsidR="00CD2143" w:rsidRPr="00CD2143" w:rsidRDefault="00CD2143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>
        <w:rPr>
          <w:rFonts w:ascii="Tahoma" w:hAnsi="Tahoma" w:cs="Arial"/>
          <w:i/>
          <w:color w:val="000000"/>
          <w:sz w:val="20"/>
          <w:szCs w:val="20"/>
        </w:rPr>
        <w:t>METEORISMO INTESTINAL.</w:t>
      </w:r>
    </w:p>
    <w:p w:rsidR="001F668E" w:rsidRPr="006920B1" w:rsidRDefault="001F668E" w:rsidP="00D5304D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  <w:bookmarkStart w:id="0" w:name="_GoBack"/>
      <w:bookmarkEnd w:id="0"/>
    </w:p>
    <w:p w:rsidR="007B5821" w:rsidRPr="006920B1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6920B1">
        <w:rPr>
          <w:rFonts w:ascii="Tahoma" w:hAnsi="Tahoma"/>
          <w:b w:val="0"/>
          <w:i/>
          <w:color w:val="000000"/>
        </w:rPr>
        <w:t>Atentamente,</w:t>
      </w:r>
    </w:p>
    <w:sectPr w:rsidR="007B5821" w:rsidRPr="006920B1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397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3F41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6B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07EC6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37E2B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143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D701F9F-AECB-486C-8DDA-103CC0A0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342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16</cp:revision>
  <cp:lastPrinted>2019-05-07T16:26:00Z</cp:lastPrinted>
  <dcterms:created xsi:type="dcterms:W3CDTF">2016-02-10T16:06:00Z</dcterms:created>
  <dcterms:modified xsi:type="dcterms:W3CDTF">2019-05-07T16:28:00Z</dcterms:modified>
</cp:coreProperties>
</file>