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 xml:space="preserve">RAMIREZ ANDRADE NEYDA PILAR </w:t>
      </w:r>
      <w:r w:rsidR="008C7D6A">
        <w:rPr>
          <w:rFonts w:ascii="Tahoma" w:hAnsi="Tahoma" w:cs="Tahoma"/>
          <w:i/>
          <w:sz w:val="20"/>
          <w:szCs w:val="20"/>
        </w:rPr>
        <w:tab/>
      </w:r>
      <w:r w:rsidR="008C7D6A">
        <w:rPr>
          <w:rFonts w:ascii="Tahoma" w:hAnsi="Tahoma" w:cs="Tahoma"/>
          <w:i/>
          <w:sz w:val="20"/>
          <w:szCs w:val="20"/>
        </w:rPr>
        <w:tab/>
      </w:r>
      <w:r w:rsidR="008C7D6A">
        <w:rPr>
          <w:rFonts w:ascii="Tahoma" w:hAnsi="Tahoma" w:cs="Tahoma"/>
          <w:i/>
          <w:sz w:val="20"/>
          <w:szCs w:val="20"/>
        </w:rPr>
        <w:tab/>
      </w:r>
      <w:r w:rsidR="009F3CF0">
        <w:rPr>
          <w:rFonts w:ascii="Tahoma" w:hAnsi="Tahoma" w:cs="Tahoma"/>
          <w:i/>
          <w:sz w:val="20"/>
          <w:szCs w:val="20"/>
        </w:rPr>
        <w:t>Edad: 45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347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="008C7D6A">
        <w:rPr>
          <w:rFonts w:ascii="Tahoma" w:hAnsi="Tahoma" w:cs="Arial"/>
          <w:i/>
          <w:color w:val="000000"/>
          <w:sz w:val="20"/>
          <w:szCs w:val="20"/>
        </w:rPr>
        <w:t xml:space="preserve"> en R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VF, medial en la cavidad pelvia</w:t>
      </w:r>
      <w:r w:rsidR="008C7D6A">
        <w:rPr>
          <w:rFonts w:ascii="Tahoma" w:hAnsi="Tahoma" w:cs="Arial"/>
          <w:i/>
          <w:color w:val="000000"/>
          <w:sz w:val="20"/>
          <w:szCs w:val="20"/>
        </w:rPr>
        <w:t>na de volumen aumentado, mide 116 x 87 x 78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8C7D6A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412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iometrio heterogéneo a nivel d</w:t>
      </w:r>
      <w:r w:rsidR="008C7D6A">
        <w:rPr>
          <w:rFonts w:ascii="Tahoma" w:hAnsi="Tahoma" w:cs="Arial"/>
          <w:i/>
          <w:color w:val="000000"/>
          <w:sz w:val="20"/>
          <w:szCs w:val="20"/>
        </w:rPr>
        <w:t>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anterior </w:t>
      </w:r>
      <w:r w:rsidR="008C7D6A">
        <w:rPr>
          <w:rFonts w:ascii="Tahoma" w:hAnsi="Tahoma" w:cs="Arial"/>
          <w:i/>
          <w:color w:val="000000"/>
          <w:sz w:val="20"/>
          <w:szCs w:val="20"/>
        </w:rPr>
        <w:t xml:space="preserve">y posterior,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condicionado por la presencia de múltiples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C7D6A">
        <w:rPr>
          <w:rFonts w:ascii="Tahoma" w:hAnsi="Tahoma" w:cs="Arial"/>
          <w:i/>
          <w:color w:val="000000"/>
          <w:sz w:val="20"/>
          <w:szCs w:val="20"/>
        </w:rPr>
        <w:t>cogénicas de aspecto nodular que miden 32 x 25mm y 23 x 23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, de diámetro</w:t>
      </w:r>
      <w:r w:rsidR="008C7D6A">
        <w:rPr>
          <w:rFonts w:ascii="Tahoma" w:hAnsi="Tahoma" w:cs="Arial"/>
          <w:i/>
          <w:color w:val="000000"/>
          <w:sz w:val="20"/>
          <w:szCs w:val="20"/>
        </w:rPr>
        <w:t xml:space="preserve"> respectivamente.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8C7D6A">
        <w:rPr>
          <w:rFonts w:ascii="Tahoma" w:hAnsi="Tahoma" w:cs="Arial"/>
          <w:i/>
          <w:color w:val="000000"/>
          <w:sz w:val="20"/>
          <w:szCs w:val="20"/>
        </w:rPr>
        <w:t xml:space="preserve"> muestra endometrio de 6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8C7D6A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25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x 18mm.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8C7D6A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23 x 15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C7D6A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HIPERTROFIA UTERINA CONDICIONADO POR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MIOMATOSIS UTERINA DE TI</w:t>
      </w:r>
      <w:r>
        <w:rPr>
          <w:rFonts w:ascii="Tahoma" w:hAnsi="Tahoma" w:cs="Arial"/>
          <w:i/>
          <w:color w:val="000000"/>
          <w:sz w:val="20"/>
          <w:szCs w:val="20"/>
        </w:rPr>
        <w:t>PO INTRAMURAL EN VIAS DE CALCIFICACION.</w:t>
      </w:r>
    </w:p>
    <w:p w:rsidR="00832CF0" w:rsidRPr="00223124" w:rsidRDefault="00E9575C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C7D6A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CONTROL POSTERIOR A LOS 10 DIAS PARA CORROBORAR DIAGNOSTICO Y EVALUACION POSTERIOR.</w:t>
      </w:r>
      <w:bookmarkStart w:id="0" w:name="_GoBack"/>
      <w:bookmarkEnd w:id="0"/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D6A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828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F482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F48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2019-05-07T21:18:00Z</cp:lastPrinted>
  <dcterms:created xsi:type="dcterms:W3CDTF">2016-02-10T16:10:00Z</dcterms:created>
  <dcterms:modified xsi:type="dcterms:W3CDTF">2019-05-07T21:20:00Z</dcterms:modified>
</cp:coreProperties>
</file>