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6B" w:rsidRDefault="00A9496B" w:rsidP="004C7FC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A9496B" w:rsidRDefault="003A7D48" w:rsidP="003A7D48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 xml:space="preserve">MURGA BOCANEGRA ANA DEISY </w:t>
      </w:r>
    </w:p>
    <w:p w:rsidR="003A7D48" w:rsidRDefault="00A9496B" w:rsidP="003A7D48">
      <w:pPr>
        <w:rPr>
          <w:rFonts w:ascii="Tahoma" w:hAnsi="Tahoma" w:cs="Arial"/>
          <w:i/>
          <w:sz w:val="20"/>
          <w:szCs w:val="20"/>
        </w:rPr>
      </w:pPr>
      <w:bookmarkStart w:id="0" w:name="_GoBack"/>
      <w:r w:rsidRPr="00A9496B">
        <w:rPr>
          <w:rFonts w:ascii="Tahoma" w:hAnsi="Tahoma" w:cs="Tahoma"/>
          <w:b/>
          <w:i/>
          <w:sz w:val="20"/>
          <w:szCs w:val="20"/>
        </w:rPr>
        <w:t>EDAD</w:t>
      </w:r>
      <w:r w:rsidRPr="00A9496B">
        <w:rPr>
          <w:rFonts w:ascii="Tahoma" w:hAnsi="Tahoma" w:cs="Tahoma"/>
          <w:b/>
          <w:i/>
          <w:sz w:val="20"/>
          <w:szCs w:val="20"/>
        </w:rPr>
        <w:tab/>
      </w:r>
      <w:bookmarkEnd w:id="0"/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6D5707">
        <w:rPr>
          <w:rFonts w:ascii="Tahoma" w:hAnsi="Tahoma" w:cs="Tahoma"/>
          <w:i/>
          <w:sz w:val="20"/>
          <w:szCs w:val="20"/>
        </w:rPr>
        <w:t>: 39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A9496B">
        <w:rPr>
          <w:rFonts w:ascii="Tahoma" w:hAnsi="Tahoma" w:cs="Tahoma"/>
          <w:i/>
          <w:noProof/>
          <w:sz w:val="20"/>
          <w:szCs w:val="20"/>
        </w:rPr>
        <w:t>87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A9496B">
        <w:rPr>
          <w:rFonts w:ascii="Tahoma" w:hAnsi="Tahoma" w:cs="Tahoma"/>
          <w:i/>
          <w:noProof/>
          <w:sz w:val="20"/>
          <w:szCs w:val="20"/>
        </w:rPr>
        <w:t>eado, de bordes regulares, de 6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Ovario derecho mide:</w:t>
      </w:r>
      <w:r w:rsidR="00A9496B">
        <w:rPr>
          <w:rFonts w:ascii="Tahoma" w:hAnsi="Tahoma" w:cs="Tahoma"/>
          <w:b/>
          <w:i/>
          <w:noProof/>
          <w:sz w:val="20"/>
          <w:szCs w:val="20"/>
        </w:rPr>
        <w:t xml:space="preserve"> </w:t>
      </w:r>
      <w:r w:rsidR="00A9496B" w:rsidRPr="00A9496B">
        <w:rPr>
          <w:rFonts w:ascii="Tahoma" w:hAnsi="Tahoma" w:cs="Tahoma"/>
          <w:i/>
          <w:noProof/>
          <w:sz w:val="20"/>
          <w:szCs w:val="20"/>
        </w:rPr>
        <w:t>26</w:t>
      </w:r>
      <w:r w:rsidR="00A9496B">
        <w:rPr>
          <w:rFonts w:ascii="Tahoma" w:hAnsi="Tahoma" w:cs="Tahoma"/>
          <w:i/>
          <w:noProof/>
          <w:sz w:val="20"/>
          <w:szCs w:val="20"/>
        </w:rPr>
        <w:t xml:space="preserve"> x 20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A9496B">
        <w:rPr>
          <w:rFonts w:ascii="Tahoma" w:hAnsi="Tahoma" w:cs="Tahoma"/>
          <w:i/>
          <w:noProof/>
          <w:sz w:val="20"/>
          <w:szCs w:val="20"/>
        </w:rPr>
        <w:t>21 x 13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A9496B">
        <w:rPr>
          <w:rFonts w:ascii="Arial Black" w:hAnsi="Arial Black" w:cs="Tahoma"/>
          <w:i/>
          <w:noProof/>
          <w:sz w:val="18"/>
          <w:szCs w:val="20"/>
          <w:u w:val="single"/>
        </w:rPr>
        <w:t xml:space="preserve"> EN RELACIÓN A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Default="005E106B" w:rsidP="00A9496B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GESTACIÓN INICIAL DE 4 SEMANAS,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A9496B" w:rsidRPr="004C7FC8" w:rsidRDefault="00A9496B" w:rsidP="00A9496B">
      <w:pPr>
        <w:widowControl w:val="0"/>
        <w:ind w:left="72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3B84"/>
    <w:multiLevelType w:val="hybridMultilevel"/>
    <w:tmpl w:val="E0969B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496B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9496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949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2019-05-07T22:11:00Z</cp:lastPrinted>
  <dcterms:created xsi:type="dcterms:W3CDTF">2016-02-10T16:34:00Z</dcterms:created>
  <dcterms:modified xsi:type="dcterms:W3CDTF">2019-05-07T22:11:00Z</dcterms:modified>
</cp:coreProperties>
</file>