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A0" w:rsidRPr="00B42C6F" w:rsidRDefault="008217A0" w:rsidP="008217A0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42C6F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F20045" w:rsidRDefault="002960FC" w:rsidP="002960F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C02BF">
        <w:rPr>
          <w:rFonts w:ascii="Tahoma" w:hAnsi="Tahoma" w:cs="Tahoma"/>
          <w:i/>
          <w:sz w:val="20"/>
          <w:szCs w:val="20"/>
        </w:rPr>
        <w:t xml:space="preserve">RUIZ PEREZ MARCIAL 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  <w:bookmarkStart w:id="0" w:name="_GoBack"/>
      <w:bookmarkEnd w:id="0"/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</w:p>
    <w:p w:rsidR="008217A0" w:rsidRPr="00D5058A" w:rsidRDefault="008F579B" w:rsidP="008217A0">
      <w:pPr>
        <w:pStyle w:val="Ttulo3"/>
        <w:spacing w:before="0" w:after="0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8F579B">
        <w:rPr>
          <w:rFonts w:ascii="Tahoma" w:hAnsi="Tahoma"/>
          <w:i/>
          <w:color w:val="000000"/>
          <w:sz w:val="19"/>
          <w:szCs w:val="20"/>
        </w:rPr>
        <w:t>: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</w:t>
      </w:r>
      <w:r w:rsidR="00B42C6F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tamaño conservado en atención al grupo etario, mide </w:t>
      </w:r>
      <w:r w:rsidR="00F20045">
        <w:rPr>
          <w:rFonts w:ascii="Tahoma" w:hAnsi="Tahoma"/>
          <w:b w:val="0"/>
          <w:i/>
          <w:color w:val="000000"/>
          <w:sz w:val="19"/>
          <w:szCs w:val="20"/>
        </w:rPr>
        <w:t>142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>mm de longitud a nivel del LHD. Muestra bordes romos, ecogenicidad parenquimal aumentada en forma difusa asociado a inadecuada visualización de los vasos suprahepáticos y periportales. Ecotextura parenquimal homogénea sin evidencia de lesiones focales solidas ni</w:t>
      </w:r>
      <w:r w:rsidR="00F20045">
        <w:rPr>
          <w:rFonts w:ascii="Tahoma" w:hAnsi="Tahoma"/>
          <w:b w:val="0"/>
          <w:i/>
          <w:color w:val="000000"/>
          <w:sz w:val="19"/>
          <w:szCs w:val="20"/>
        </w:rPr>
        <w:t xml:space="preserve"> q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>uísticas. Conductos biliares intrahepáticos no muestran dilataciones.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  <w:r w:rsidR="00F20045">
        <w:rPr>
          <w:rFonts w:ascii="Tahoma" w:hAnsi="Tahoma"/>
          <w:b w:val="0"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</w:t>
      </w:r>
      <w:r w:rsidR="00F20045">
        <w:rPr>
          <w:rFonts w:ascii="Tahoma" w:hAnsi="Tahoma" w:cs="Arial"/>
          <w:i/>
          <w:color w:val="000000"/>
          <w:sz w:val="19"/>
          <w:szCs w:val="20"/>
        </w:rPr>
        <w:t>acodadura a nivel del cuerpo y cuello. Muestra a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decuada distensión siendo sus medidas de </w:t>
      </w:r>
      <w:r w:rsidR="00F20045">
        <w:rPr>
          <w:rFonts w:ascii="Tahoma" w:hAnsi="Tahoma" w:cs="Arial"/>
          <w:i/>
          <w:color w:val="000000"/>
          <w:sz w:val="19"/>
          <w:szCs w:val="20"/>
        </w:rPr>
        <w:t>67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x </w:t>
      </w:r>
      <w:r w:rsidR="00F20045">
        <w:rPr>
          <w:rFonts w:ascii="Tahoma" w:hAnsi="Tahoma" w:cs="Arial"/>
          <w:i/>
          <w:color w:val="000000"/>
          <w:sz w:val="19"/>
          <w:szCs w:val="20"/>
        </w:rPr>
        <w:t>34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mm., en longitudinal y AP. </w:t>
      </w:r>
    </w:p>
    <w:p w:rsidR="008217A0" w:rsidRPr="008F579B" w:rsidRDefault="00F20045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>
        <w:rPr>
          <w:rFonts w:ascii="Tahoma" w:hAnsi="Tahoma" w:cs="Arial"/>
          <w:i/>
          <w:color w:val="000000"/>
          <w:sz w:val="19"/>
          <w:szCs w:val="20"/>
        </w:rPr>
        <w:t xml:space="preserve">El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 xml:space="preserve">espesor </w:t>
      </w:r>
      <w:r>
        <w:rPr>
          <w:rFonts w:ascii="Tahoma" w:hAnsi="Tahoma" w:cs="Arial"/>
          <w:i/>
          <w:color w:val="000000"/>
          <w:sz w:val="19"/>
          <w:szCs w:val="20"/>
        </w:rPr>
        <w:t xml:space="preserve">de la pared está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conservado, mide 2mm., de espesor.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De situación habitual y tamaño conservado, mide </w:t>
      </w:r>
      <w:r w:rsidR="00F20045">
        <w:rPr>
          <w:rFonts w:ascii="Tahoma" w:hAnsi="Tahoma" w:cs="Arial"/>
          <w:i/>
          <w:color w:val="000000"/>
          <w:sz w:val="19"/>
          <w:szCs w:val="20"/>
        </w:rPr>
        <w:t>24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mm., de diámetro AP a nivel de la cabeza. Muestra ecotextura homogénea y ecogenicidad conservada.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De situación habitual y tamaño conservado. Mide </w:t>
      </w:r>
      <w:r w:rsidR="00F20045">
        <w:rPr>
          <w:rFonts w:ascii="Tahoma" w:hAnsi="Tahoma" w:cs="Arial"/>
          <w:i/>
          <w:color w:val="000000"/>
          <w:sz w:val="19"/>
          <w:szCs w:val="20"/>
        </w:rPr>
        <w:t>82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mm., de longitud.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8F579B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D5058A" w:rsidRDefault="00A05DA6" w:rsidP="00842BCB">
      <w:pPr>
        <w:widowControl w:val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D5058A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ECOGRÀFICOS</w:t>
      </w:r>
      <w:r w:rsidR="00842BCB" w:rsidRPr="00D5058A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8F579B">
        <w:rPr>
          <w:rFonts w:ascii="Tahoma" w:hAnsi="Tahoma" w:cs="Arial"/>
          <w:i/>
          <w:color w:val="000000"/>
          <w:sz w:val="19"/>
          <w:szCs w:val="20"/>
        </w:rPr>
        <w:t>/O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É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8F579B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8F579B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8F579B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C148B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C148B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2BF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60FC"/>
    <w:rsid w:val="002962C4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2C6F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058A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045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905D55-AC54-4792-9E12-7FE038BC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PuestoCar">
    <w:name w:val="Puesto Car"/>
    <w:link w:val="Puesto"/>
    <w:rsid w:val="008217A0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2004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200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17</cp:revision>
  <cp:lastPrinted>2019-05-09T14:45:00Z</cp:lastPrinted>
  <dcterms:created xsi:type="dcterms:W3CDTF">2016-02-10T16:04:00Z</dcterms:created>
  <dcterms:modified xsi:type="dcterms:W3CDTF">2019-05-09T14:45:00Z</dcterms:modified>
</cp:coreProperties>
</file>