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6E6763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CONDE HUAYNATE HIRAYDA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6E6763">
        <w:rPr>
          <w:rFonts w:ascii="Tahoma" w:hAnsi="Tahoma"/>
          <w:b w:val="0"/>
          <w:i/>
          <w:color w:val="000000"/>
          <w:szCs w:val="20"/>
        </w:rPr>
        <w:t>94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Porta mide </w:t>
      </w:r>
      <w:r w:rsidR="006E6763">
        <w:rPr>
          <w:rFonts w:ascii="Tahoma" w:hAnsi="Tahoma"/>
          <w:b w:val="0"/>
          <w:i/>
          <w:color w:val="000000"/>
          <w:szCs w:val="20"/>
        </w:rPr>
        <w:t>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De situación habitual</w:t>
      </w:r>
      <w:r w:rsidR="006E6763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6E6763">
        <w:rPr>
          <w:rFonts w:ascii="Tahoma" w:hAnsi="Tahoma" w:cs="Arial"/>
          <w:i/>
          <w:color w:val="000000"/>
          <w:sz w:val="20"/>
          <w:szCs w:val="20"/>
        </w:rPr>
        <w:t>, presenta acodadura a nivel corporal condicionando ubicación del fondo vesicular hacia el ángulo marginal inferior derecho del hígado (variante de la normalidad), la VB mi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6E6763">
        <w:rPr>
          <w:rFonts w:ascii="Tahoma" w:hAnsi="Tahoma" w:cs="Arial"/>
          <w:i/>
          <w:color w:val="000000"/>
          <w:sz w:val="20"/>
          <w:szCs w:val="20"/>
        </w:rPr>
        <w:t>86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6E6763">
        <w:rPr>
          <w:rFonts w:ascii="Tahoma" w:hAnsi="Tahoma" w:cs="Arial"/>
          <w:i/>
          <w:color w:val="000000"/>
          <w:sz w:val="20"/>
          <w:szCs w:val="20"/>
        </w:rPr>
        <w:t>19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6E6763">
        <w:rPr>
          <w:rFonts w:ascii="Tahoma" w:hAnsi="Tahoma" w:cs="Arial"/>
          <w:i/>
          <w:color w:val="000000"/>
          <w:sz w:val="20"/>
          <w:szCs w:val="20"/>
        </w:rPr>
        <w:t>20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6E6763">
        <w:rPr>
          <w:rFonts w:ascii="Tahoma" w:hAnsi="Tahoma" w:cs="Arial"/>
          <w:i/>
          <w:color w:val="000000"/>
          <w:sz w:val="20"/>
          <w:szCs w:val="20"/>
        </w:rPr>
        <w:t>64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6E6763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763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2018-05-04T18:57:00Z</cp:lastPrinted>
  <dcterms:created xsi:type="dcterms:W3CDTF">2016-02-10T16:06:00Z</dcterms:created>
  <dcterms:modified xsi:type="dcterms:W3CDTF">2019-05-09T23:02:00Z</dcterms:modified>
</cp:coreProperties>
</file>