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GARCES MUÑOZ NEIDA Edad: 36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895DF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895DFD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895DFD">
        <w:rPr>
          <w:rFonts w:ascii="Tahoma" w:hAnsi="Tahoma" w:cs="Arial"/>
          <w:i/>
          <w:color w:val="000000"/>
          <w:sz w:val="20"/>
          <w:szCs w:val="20"/>
        </w:rPr>
        <w:tab/>
      </w:r>
      <w:r w:rsidR="00895DFD">
        <w:rPr>
          <w:rFonts w:ascii="Tahoma" w:hAnsi="Tahoma" w:cs="Arial"/>
          <w:i/>
          <w:color w:val="000000"/>
          <w:sz w:val="20"/>
          <w:szCs w:val="20"/>
        </w:rPr>
        <w:tab/>
      </w:r>
      <w:r w:rsidR="00895DFD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895DFD"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895DF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</w:t>
      </w:r>
      <w:r w:rsidR="00895DFD">
        <w:rPr>
          <w:rFonts w:ascii="Tahoma" w:hAnsi="Tahoma" w:cs="Arial"/>
          <w:i/>
          <w:color w:val="000000"/>
          <w:sz w:val="20"/>
          <w:szCs w:val="20"/>
        </w:rPr>
        <w:t xml:space="preserve"> lineal de 2mm de espesor, asimismo se aprecia colección hipoecogénica con finos ecos de baja amplitud el cual mide 24 x 4mm de diámetro mayor. Adecuada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895DFD">
        <w:rPr>
          <w:rFonts w:ascii="Tahoma" w:hAnsi="Tahoma" w:cs="Arial"/>
          <w:i/>
          <w:color w:val="000000"/>
          <w:sz w:val="20"/>
          <w:szCs w:val="20"/>
        </w:rPr>
        <w:t>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895DFD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895DFD">
        <w:rPr>
          <w:rFonts w:ascii="Tahoma" w:hAnsi="Tahoma" w:cs="Arial"/>
          <w:i/>
          <w:color w:val="000000"/>
          <w:sz w:val="20"/>
          <w:szCs w:val="20"/>
        </w:rPr>
        <w:t>io de tamaño conservado, mide 24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95DFD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5DFD" w:rsidRDefault="00895DF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COLECCIÓN EN CAVIDAD UTERINA – HEMATOMETRA.</w:t>
      </w:r>
    </w:p>
    <w:p w:rsidR="00387543" w:rsidRPr="00382B8C" w:rsidRDefault="001E76F0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5DFD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95D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95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2019-05-11T16:17:00Z</cp:lastPrinted>
  <dcterms:created xsi:type="dcterms:W3CDTF">2016-02-10T16:11:00Z</dcterms:created>
  <dcterms:modified xsi:type="dcterms:W3CDTF">2019-05-11T16:17:00Z</dcterms:modified>
</cp:coreProperties>
</file>