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685A73" w:rsidRDefault="00685A73" w:rsidP="00685A73">
      <w:pPr>
        <w:pStyle w:val="Puest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BRIYI LIZETH ASTO IZAGUIRRE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GINECOLOGICA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DF34D1" w:rsidRDefault="00DF34D1" w:rsidP="00DF34D1">
      <w:pPr>
        <w:pStyle w:val="Ttulo1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 Y UTILIZANDO TRANSDUCTOR CONVEXO MULTIFRECUENCIAL, MUESTRA:</w:t>
      </w:r>
    </w:p>
    <w:p w:rsidR="00DF34D1" w:rsidRPr="008459D9" w:rsidRDefault="00DF34D1" w:rsidP="00DF34D1">
      <w:pPr>
        <w:rPr>
          <w:rFonts w:ascii="Tahoma" w:hAnsi="Tahoma" w:cs="Tahoma"/>
          <w:i/>
          <w:sz w:val="20"/>
          <w:szCs w:val="20"/>
        </w:rPr>
      </w:pP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459D9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8459D9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El útero</w:t>
      </w:r>
      <w:r w:rsidRPr="008459D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Mide 68 x 45 x 35</w:t>
      </w:r>
      <w:r w:rsidRPr="008459D9">
        <w:rPr>
          <w:rFonts w:ascii="Tahoma" w:hAnsi="Tahoma" w:cs="Arial"/>
          <w:i/>
          <w:sz w:val="20"/>
          <w:szCs w:val="20"/>
        </w:rPr>
        <w:t xml:space="preserve"> mm de diámetro en sentido longitudinal, transverso y antero posterior respectivamente. 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Cavidad uterina</w:t>
      </w:r>
      <w:r w:rsidRPr="008459D9">
        <w:rPr>
          <w:rFonts w:ascii="Tahoma" w:hAnsi="Tahoma" w:cs="Arial"/>
          <w:i/>
          <w:sz w:val="20"/>
          <w:szCs w:val="20"/>
        </w:rPr>
        <w:t xml:space="preserve"> muestra endometrio de </w:t>
      </w:r>
      <w:r>
        <w:rPr>
          <w:rFonts w:ascii="Tahoma" w:hAnsi="Tahoma" w:cs="Arial"/>
          <w:i/>
          <w:sz w:val="20"/>
          <w:szCs w:val="20"/>
        </w:rPr>
        <w:t>3</w:t>
      </w:r>
      <w:r w:rsidRPr="008459D9">
        <w:rPr>
          <w:rFonts w:ascii="Tahoma" w:hAnsi="Tahoma" w:cs="Arial"/>
          <w:i/>
          <w:sz w:val="20"/>
          <w:szCs w:val="20"/>
        </w:rPr>
        <w:t>mm de espesor sin evidencia de lesiones focales al momento del examen.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Cuello uterino</w:t>
      </w:r>
      <w:r w:rsidRPr="008459D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OCI cerrado.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Ambos ovarios son de morfología ovoidea. No muestran lesiones focales sólidas ni quísticas complejas al momento del examen. 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Al interior se objetivan </w:t>
      </w:r>
      <w:r>
        <w:rPr>
          <w:rFonts w:ascii="Tahoma" w:hAnsi="Tahoma" w:cs="Arial"/>
          <w:i/>
          <w:sz w:val="20"/>
          <w:szCs w:val="20"/>
        </w:rPr>
        <w:t>folículos en número de 08 – 11 por ovario con diámetros de 5mm a 8</w:t>
      </w:r>
      <w:r w:rsidRPr="008459D9">
        <w:rPr>
          <w:rFonts w:ascii="Tahoma" w:hAnsi="Tahoma" w:cs="Arial"/>
          <w:i/>
          <w:sz w:val="20"/>
          <w:szCs w:val="20"/>
        </w:rPr>
        <w:t xml:space="preserve">mm de diámetro y distribución difusa. </w:t>
      </w:r>
      <w:r w:rsidRPr="008459D9">
        <w:rPr>
          <w:rFonts w:ascii="Tahoma" w:hAnsi="Tahoma" w:cs="Arial"/>
          <w:i/>
          <w:sz w:val="20"/>
          <w:szCs w:val="20"/>
          <w:lang w:val="pt-BR"/>
        </w:rPr>
        <w:t xml:space="preserve">Estroma ovárico bilateral de aspecto conservado.  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El ovario derecho</w:t>
      </w:r>
      <w:r>
        <w:rPr>
          <w:rFonts w:ascii="Tahoma" w:hAnsi="Tahoma" w:cs="Arial"/>
          <w:i/>
          <w:sz w:val="20"/>
          <w:szCs w:val="20"/>
        </w:rPr>
        <w:t xml:space="preserve"> mide 28 x 18</w:t>
      </w:r>
      <w:r w:rsidRPr="008459D9">
        <w:rPr>
          <w:rFonts w:ascii="Tahoma" w:hAnsi="Tahoma" w:cs="Arial"/>
          <w:i/>
          <w:sz w:val="20"/>
          <w:szCs w:val="20"/>
        </w:rPr>
        <w:t xml:space="preserve"> mm.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El ovario izquierdo</w:t>
      </w:r>
      <w:r>
        <w:rPr>
          <w:rFonts w:ascii="Tahoma" w:hAnsi="Tahoma" w:cs="Arial"/>
          <w:i/>
          <w:sz w:val="20"/>
          <w:szCs w:val="20"/>
        </w:rPr>
        <w:t xml:space="preserve"> mide 36 x 21</w:t>
      </w:r>
      <w:r w:rsidRPr="008459D9">
        <w:rPr>
          <w:rFonts w:ascii="Tahoma" w:hAnsi="Tahoma" w:cs="Arial"/>
          <w:i/>
          <w:sz w:val="20"/>
          <w:szCs w:val="20"/>
        </w:rPr>
        <w:t xml:space="preserve"> mm.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A321E">
        <w:rPr>
          <w:rFonts w:ascii="Tahoma" w:hAnsi="Tahoma" w:cs="Arial"/>
          <w:b/>
          <w:i/>
          <w:sz w:val="20"/>
          <w:szCs w:val="20"/>
        </w:rPr>
        <w:t>Saco de Douglas</w:t>
      </w:r>
      <w:r w:rsidRPr="008459D9">
        <w:rPr>
          <w:rFonts w:ascii="Tahoma" w:hAnsi="Tahoma" w:cs="Arial"/>
          <w:i/>
          <w:sz w:val="20"/>
          <w:szCs w:val="20"/>
        </w:rPr>
        <w:t xml:space="preserve"> libre.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F34D1" w:rsidRPr="008459D9" w:rsidRDefault="00DF34D1" w:rsidP="00DF34D1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  <w:u w:val="single"/>
        </w:rPr>
        <w:t>IDx</w:t>
      </w:r>
      <w:r w:rsidRPr="008459D9">
        <w:rPr>
          <w:rFonts w:ascii="Tahoma" w:hAnsi="Tahoma" w:cs="Arial"/>
          <w:b/>
          <w:i/>
          <w:sz w:val="20"/>
          <w:szCs w:val="20"/>
        </w:rPr>
        <w:t>:</w:t>
      </w:r>
    </w:p>
    <w:p w:rsidR="00DF34D1" w:rsidRPr="008459D9" w:rsidRDefault="00DF34D1" w:rsidP="00DF34D1">
      <w:pPr>
        <w:widowControl w:val="0"/>
        <w:rPr>
          <w:rFonts w:ascii="Tahoma" w:hAnsi="Tahoma" w:cs="Arial"/>
          <w:i/>
          <w:sz w:val="20"/>
          <w:szCs w:val="20"/>
        </w:rPr>
      </w:pPr>
    </w:p>
    <w:p w:rsidR="00DF34D1" w:rsidRPr="008459D9" w:rsidRDefault="00DF34D1" w:rsidP="00DF34D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UTERO SIN IMÁGENES DE PATOLOGIA.</w:t>
      </w:r>
    </w:p>
    <w:p w:rsidR="00DF34D1" w:rsidRPr="008459D9" w:rsidRDefault="00DF34D1" w:rsidP="00DF34D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DF34D1" w:rsidRPr="008459D9" w:rsidRDefault="00DF34D1" w:rsidP="00DF34D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F34D1" w:rsidRPr="008459D9" w:rsidRDefault="00DF34D1" w:rsidP="00DF34D1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S/S CORRELACIONAR CON DATOS CLINICOS Y CONTROL POSTERIOR.</w:t>
      </w:r>
    </w:p>
    <w:p w:rsidR="00DF34D1" w:rsidRPr="008459D9" w:rsidRDefault="00DF34D1" w:rsidP="00DF34D1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      </w:t>
      </w:r>
    </w:p>
    <w:p w:rsidR="00DF34D1" w:rsidRPr="008459D9" w:rsidRDefault="00DF34D1" w:rsidP="00DF34D1">
      <w:pPr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ATENTAMENTE</w:t>
      </w:r>
    </w:p>
    <w:p w:rsidR="00DF34D1" w:rsidRPr="008459D9" w:rsidRDefault="00DF34D1" w:rsidP="00DF34D1">
      <w:pPr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DF34D1">
      <w:pPr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6A48F7"/>
    <w:multiLevelType w:val="hybridMultilevel"/>
    <w:tmpl w:val="D9B227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4D1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4ED317-C38D-4894-A24E-4E5DEE22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1Car">
    <w:name w:val="Título 1 Car"/>
    <w:link w:val="Ttulo1"/>
    <w:rsid w:val="00DF34D1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2016-02-10T16:09:00Z</dcterms:created>
  <dcterms:modified xsi:type="dcterms:W3CDTF">2019-04-06T18:10:00Z</dcterms:modified>
</cp:coreProperties>
</file>