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DIGNA YSABEL SILVA SALAZAR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P-20046908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8549DD">
        <w:rPr>
          <w:rFonts w:ascii="Times New Roman" w:hAnsi="Times New Roman"/>
          <w:sz w:val="24"/>
          <w:szCs w:val="24"/>
          <w:lang w:val="en-US"/>
        </w:rPr>
        <w:t>4’26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8549DD">
        <w:rPr>
          <w:rFonts w:ascii="Times New Roman" w:hAnsi="Times New Roman"/>
          <w:sz w:val="24"/>
          <w:szCs w:val="24"/>
        </w:rPr>
        <w:t>12.8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8549DD">
        <w:rPr>
          <w:rFonts w:ascii="Times New Roman" w:hAnsi="Times New Roman"/>
          <w:sz w:val="24"/>
          <w:szCs w:val="24"/>
        </w:rPr>
        <w:t xml:space="preserve">                39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8549DD">
        <w:rPr>
          <w:rFonts w:ascii="Times New Roman" w:hAnsi="Times New Roman"/>
          <w:sz w:val="24"/>
          <w:szCs w:val="24"/>
        </w:rPr>
        <w:t xml:space="preserve">               13 1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8549DD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8549DD">
        <w:rPr>
          <w:rFonts w:ascii="Times New Roman" w:hAnsi="Times New Roman"/>
          <w:sz w:val="24"/>
          <w:szCs w:val="17"/>
        </w:rPr>
        <w:t>74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8549DD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8549DD">
        <w:rPr>
          <w:rFonts w:ascii="Times New Roman" w:hAnsi="Times New Roman"/>
          <w:sz w:val="24"/>
          <w:szCs w:val="17"/>
          <w:lang w:val="pt-BR"/>
        </w:rPr>
        <w:t>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8549DD">
        <w:rPr>
          <w:rFonts w:ascii="Times New Roman" w:hAnsi="Times New Roman"/>
          <w:sz w:val="24"/>
        </w:rPr>
        <w:t>22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8549DD" w:rsidRDefault="008549D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8549DD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2019-04-09T17:32:00Z</dcterms:modified>
</cp:coreProperties>
</file>