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EMILY NAYLIN PEREZ RAMOS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5A590D">
        <w:rPr>
          <w:rFonts w:ascii="Tahoma" w:hAnsi="Tahoma" w:cs="Tahoma"/>
          <w:i/>
          <w:noProof/>
          <w:sz w:val="20"/>
          <w:szCs w:val="20"/>
        </w:rPr>
        <w:t>eado, de bordes regulares, de 9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5A590D">
        <w:rPr>
          <w:rFonts w:ascii="Tahoma" w:hAnsi="Tahoma" w:cs="Tahoma"/>
          <w:i/>
          <w:noProof/>
          <w:sz w:val="20"/>
          <w:szCs w:val="20"/>
        </w:rPr>
        <w:t>25 x 19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5A590D">
        <w:rPr>
          <w:rFonts w:ascii="Tahoma" w:hAnsi="Tahoma" w:cs="Tahoma"/>
          <w:i/>
          <w:noProof/>
          <w:sz w:val="20"/>
          <w:szCs w:val="20"/>
        </w:rPr>
        <w:t>24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90D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1F31E88-6024-4F80-B007-270B3105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A59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A590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2019-04-10T16:58:00Z</cp:lastPrinted>
  <dcterms:created xsi:type="dcterms:W3CDTF">2016-02-10T16:34:00Z</dcterms:created>
  <dcterms:modified xsi:type="dcterms:W3CDTF">2019-04-10T16:58:00Z</dcterms:modified>
</cp:coreProperties>
</file>