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  <w:bookmarkStart w:id="0" w:name="_GoBack"/>
      <w:bookmarkEnd w:id="0"/>
    </w:p>
    <w:p w:rsidR="000E4D67" w:rsidRPr="0032637D" w:rsidRDefault="000E4D67" w:rsidP="000E4D67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ENITH PIZANGO MANIHUARI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229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17-04-2019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500617" w:rsidRDefault="00500617" w:rsidP="00500617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</w:t>
      </w:r>
      <w:r w:rsidR="002C576F">
        <w:rPr>
          <w:rFonts w:ascii="Arial Black" w:hAnsi="Arial Black"/>
          <w:i/>
          <w:noProof/>
          <w:color w:val="000000"/>
          <w:sz w:val="18"/>
          <w:szCs w:val="20"/>
        </w:rPr>
        <w:t xml:space="preserve">60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EN ESCALA DE GRISES Y UTILIZANDO TRANSDUCTOR </w:t>
      </w:r>
      <w:r w:rsidR="002C576F">
        <w:rPr>
          <w:rFonts w:ascii="Arial Black" w:hAnsi="Arial Black"/>
          <w:i/>
          <w:noProof/>
          <w:color w:val="000000"/>
          <w:sz w:val="18"/>
          <w:szCs w:val="20"/>
        </w:rPr>
        <w:t xml:space="preserve"> VOLUMETRICO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MULTIFRECUENCIAL (3.0 – 13.0 MHz),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uestra para la edad gestacional, adecuado desarrollo del sistema nervioso central, sistema ventricular no dilatado, </w:t>
      </w:r>
      <w:r w:rsidR="002C576F">
        <w:rPr>
          <w:rFonts w:ascii="Tahoma" w:hAnsi="Tahoma" w:cs="Tahoma"/>
          <w:i/>
          <w:color w:val="000000"/>
          <w:sz w:val="18"/>
          <w:szCs w:val="18"/>
        </w:rPr>
        <w:t xml:space="preserve">plexos coroideos, </w:t>
      </w:r>
      <w:proofErr w:type="spellStart"/>
      <w:r w:rsidR="002C576F">
        <w:rPr>
          <w:rFonts w:ascii="Tahoma" w:hAnsi="Tahoma" w:cs="Tahoma"/>
          <w:i/>
          <w:color w:val="000000"/>
          <w:sz w:val="18"/>
          <w:szCs w:val="18"/>
        </w:rPr>
        <w:t>cavum</w:t>
      </w:r>
      <w:proofErr w:type="spellEnd"/>
      <w:r w:rsidR="002C576F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proofErr w:type="spellStart"/>
      <w:r w:rsidR="002C576F">
        <w:rPr>
          <w:rFonts w:ascii="Tahoma" w:hAnsi="Tahoma" w:cs="Tahoma"/>
          <w:i/>
          <w:color w:val="000000"/>
          <w:sz w:val="18"/>
          <w:szCs w:val="18"/>
        </w:rPr>
        <w:t>pelucido</w:t>
      </w:r>
      <w:proofErr w:type="spellEnd"/>
      <w:r w:rsidR="002C576F">
        <w:rPr>
          <w:rFonts w:ascii="Tahoma" w:hAnsi="Tahoma" w:cs="Tahoma"/>
          <w:i/>
          <w:color w:val="000000"/>
          <w:sz w:val="18"/>
          <w:szCs w:val="18"/>
        </w:rPr>
        <w:t xml:space="preserve">, cisterna magna normales,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2C576F">
        <w:rPr>
          <w:rFonts w:ascii="Tahoma" w:hAnsi="Tahoma" w:cs="Tahoma"/>
          <w:b/>
          <w:i/>
          <w:color w:val="000000"/>
          <w:sz w:val="18"/>
          <w:szCs w:val="18"/>
        </w:rPr>
        <w:t>MASCULINO.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2C576F">
        <w:rPr>
          <w:rFonts w:ascii="Tahoma" w:hAnsi="Tahoma" w:cs="Tahoma"/>
          <w:i/>
          <w:color w:val="000000"/>
          <w:sz w:val="18"/>
          <w:szCs w:val="18"/>
        </w:rPr>
        <w:t>86</w:t>
      </w:r>
      <w:r w:rsidR="002C576F">
        <w:rPr>
          <w:rFonts w:ascii="Tahoma" w:hAnsi="Tahoma" w:cs="Tahoma"/>
          <w:i/>
          <w:color w:val="000000"/>
          <w:sz w:val="18"/>
          <w:szCs w:val="18"/>
        </w:rPr>
        <w:tab/>
      </w:r>
      <w:r w:rsidR="002C576F">
        <w:rPr>
          <w:rFonts w:ascii="Tahoma" w:hAnsi="Tahoma" w:cs="Tahoma"/>
          <w:i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2C576F">
        <w:rPr>
          <w:rFonts w:ascii="Tahoma" w:hAnsi="Tahoma" w:cs="Tahoma"/>
          <w:i/>
          <w:color w:val="000000"/>
          <w:sz w:val="18"/>
          <w:szCs w:val="18"/>
        </w:rPr>
        <w:t>321</w:t>
      </w:r>
      <w:r w:rsidR="002C576F">
        <w:rPr>
          <w:rFonts w:ascii="Tahoma" w:hAnsi="Tahoma" w:cs="Tahoma"/>
          <w:i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2C576F">
        <w:rPr>
          <w:rFonts w:ascii="Tahoma" w:hAnsi="Tahoma" w:cs="Tahoma"/>
          <w:i/>
          <w:color w:val="000000"/>
          <w:sz w:val="18"/>
          <w:szCs w:val="18"/>
        </w:rPr>
        <w:t>322</w:t>
      </w:r>
      <w:r w:rsidR="002C576F">
        <w:rPr>
          <w:rFonts w:ascii="Tahoma" w:hAnsi="Tahoma" w:cs="Tahoma"/>
          <w:i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2C576F">
        <w:rPr>
          <w:rFonts w:ascii="Tahoma" w:hAnsi="Tahoma" w:cs="Tahoma"/>
          <w:i/>
          <w:color w:val="000000"/>
          <w:sz w:val="18"/>
          <w:szCs w:val="18"/>
        </w:rPr>
        <w:t>70</w:t>
      </w:r>
      <w:r w:rsidR="002C576F">
        <w:rPr>
          <w:rFonts w:ascii="Tahoma" w:hAnsi="Tahoma" w:cs="Tahoma"/>
          <w:i/>
          <w:color w:val="000000"/>
          <w:sz w:val="18"/>
          <w:szCs w:val="18"/>
        </w:rPr>
        <w:tab/>
      </w:r>
      <w:r w:rsidR="002C576F">
        <w:rPr>
          <w:rFonts w:ascii="Tahoma" w:hAnsi="Tahoma" w:cs="Tahoma"/>
          <w:i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2C576F">
        <w:rPr>
          <w:rFonts w:ascii="Tahoma" w:hAnsi="Tahoma" w:cs="Tahoma"/>
          <w:i/>
          <w:color w:val="000000"/>
          <w:sz w:val="18"/>
          <w:szCs w:val="18"/>
          <w:lang w:val="es-PE"/>
        </w:rPr>
        <w:t>2833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gr.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2C576F">
        <w:rPr>
          <w:rFonts w:ascii="Tahoma" w:hAnsi="Tahoma" w:cs="Tahoma"/>
          <w:i/>
          <w:color w:val="000000"/>
          <w:sz w:val="18"/>
          <w:szCs w:val="18"/>
        </w:rPr>
        <w:t>37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</w:t>
      </w:r>
      <w:r w:rsidR="002C576F">
        <w:rPr>
          <w:rFonts w:ascii="Tahoma" w:hAnsi="Tahoma" w:cs="Tahoma"/>
          <w:i/>
          <w:color w:val="000000"/>
          <w:sz w:val="18"/>
          <w:szCs w:val="18"/>
        </w:rPr>
        <w:t>pos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terior. Espesor: </w:t>
      </w:r>
      <w:r w:rsidR="002C576F">
        <w:rPr>
          <w:rFonts w:ascii="Tahoma" w:hAnsi="Tahoma" w:cs="Tahoma"/>
          <w:i/>
          <w:color w:val="000000"/>
          <w:sz w:val="18"/>
          <w:szCs w:val="18"/>
        </w:rPr>
        <w:t xml:space="preserve">36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2C576F">
        <w:rPr>
          <w:rFonts w:ascii="Tahoma" w:hAnsi="Tahoma" w:cs="Tahoma"/>
          <w:i/>
          <w:color w:val="000000"/>
          <w:sz w:val="18"/>
          <w:szCs w:val="18"/>
        </w:rPr>
        <w:t xml:space="preserve">16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 (VN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2C576F">
        <w:rPr>
          <w:rFonts w:ascii="Tahoma" w:hAnsi="Tahoma" w:cs="Tahoma"/>
          <w:i/>
          <w:color w:val="000000"/>
          <w:sz w:val="18"/>
          <w:szCs w:val="18"/>
        </w:rPr>
        <w:t xml:space="preserve">35.6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FD1AD9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BIENESTAR FETAL </w:t>
      </w:r>
      <w:r w:rsidR="002C576F">
        <w:rPr>
          <w:rFonts w:ascii="Tahoma" w:hAnsi="Tahoma" w:cs="Tahoma"/>
          <w:i/>
          <w:color w:val="000000"/>
          <w:sz w:val="18"/>
          <w:szCs w:val="18"/>
        </w:rPr>
        <w:t xml:space="preserve">ECOGRAFICAMENTE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CONSERVADO.</w:t>
      </w:r>
    </w:p>
    <w:p w:rsidR="002C576F" w:rsidRPr="00A21AF8" w:rsidRDefault="002C576F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PLACENTA Y LIQUIDO AMNIOTICO ECOGRAFICAMENTE CONSERVADOS.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76F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0617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3A86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0D8F855-DB9D-4536-A101-5D82B5F91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2C576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2C576F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10</cp:revision>
  <cp:lastPrinted>2019-04-17T18:10:00Z</cp:lastPrinted>
  <dcterms:created xsi:type="dcterms:W3CDTF">2016-02-10T16:41:00Z</dcterms:created>
  <dcterms:modified xsi:type="dcterms:W3CDTF">2019-04-17T18:10:00Z</dcterms:modified>
</cp:coreProperties>
</file>