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BB1E7D" w:rsidRDefault="00AD3D8C" w:rsidP="00AD3D8C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 xml:space="preserve">GENOVEVA PARI </w:t>
      </w:r>
      <w:proofErr w:type="gramStart"/>
      <w:r w:rsidR="006A4FBD">
        <w:rPr>
          <w:rFonts w:ascii="Tahoma" w:hAnsi="Tahoma" w:cs="Tahoma"/>
          <w:i/>
          <w:sz w:val="20"/>
          <w:szCs w:val="20"/>
        </w:rPr>
        <w:t xml:space="preserve">CONDORI </w:t>
      </w:r>
      <w:r w:rsidR="0082677C">
        <w:rPr>
          <w:rFonts w:ascii="Tahoma" w:hAnsi="Tahoma" w:cs="Tahoma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>Edad</w:t>
      </w:r>
      <w:proofErr w:type="gramEnd"/>
      <w:r w:rsidR="006A4FBD">
        <w:rPr>
          <w:rFonts w:ascii="Tahoma" w:hAnsi="Tahoma" w:cs="Tahoma"/>
          <w:i/>
          <w:sz w:val="20"/>
          <w:szCs w:val="20"/>
        </w:rPr>
        <w:t>: 41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180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B1E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tamaño conservado en atención al grupo etario, mide 131mm de longitud a nivel del LHD. Muestra bordes definidos, ecogenicidad parenquimal aumentada en forma difusa y ecotextura homogénea sin evidencia de lesiones focales solidas ni quísticas. Conductos biliares </w:t>
      </w:r>
      <w:proofErr w:type="spellStart"/>
      <w:r w:rsidRPr="00750BC2">
        <w:rPr>
          <w:rFonts w:ascii="Tahoma" w:hAnsi="Tahoma"/>
          <w:b w:val="0"/>
          <w:i/>
          <w:color w:val="000000"/>
          <w:sz w:val="20"/>
          <w:szCs w:val="20"/>
        </w:rPr>
        <w:t>intrahepáticos</w:t>
      </w:r>
      <w:proofErr w:type="spellEnd"/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</w:t>
      </w:r>
      <w:r w:rsidR="0082677C">
        <w:rPr>
          <w:rFonts w:ascii="Tahoma" w:hAnsi="Tahoma" w:cs="Arial"/>
          <w:i/>
          <w:color w:val="000000"/>
          <w:sz w:val="20"/>
          <w:szCs w:val="20"/>
        </w:rPr>
        <w:t>5 x 40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Muestra pared de espesor conservado, mide </w:t>
      </w:r>
      <w:r w:rsidR="0082677C">
        <w:rPr>
          <w:rFonts w:ascii="Tahoma" w:hAnsi="Tahoma" w:cs="Arial"/>
          <w:i/>
          <w:color w:val="000000"/>
          <w:sz w:val="20"/>
          <w:szCs w:val="20"/>
        </w:rPr>
        <w:t>3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El contenido líquido es homogéneo sin evidencia de imágenes litiásicas, pólipos, barro biliar ni masas al int</w:t>
      </w:r>
      <w:r w:rsidR="0082677C">
        <w:rPr>
          <w:rFonts w:ascii="Tahoma" w:hAnsi="Tahoma" w:cs="Arial"/>
          <w:i/>
          <w:color w:val="000000"/>
          <w:sz w:val="20"/>
          <w:szCs w:val="20"/>
        </w:rPr>
        <w:t>erior. Colédoco proximal, mide 2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</w:t>
      </w:r>
      <w:r w:rsidR="0082677C">
        <w:rPr>
          <w:rFonts w:ascii="Tahoma" w:hAnsi="Tahoma" w:cs="Arial"/>
          <w:i/>
          <w:color w:val="000000"/>
          <w:sz w:val="20"/>
          <w:szCs w:val="20"/>
        </w:rPr>
        <w:t xml:space="preserve"> conservado, mide 27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</w:t>
      </w:r>
      <w:r w:rsidR="0082677C">
        <w:rPr>
          <w:rFonts w:ascii="Tahoma" w:hAnsi="Tahoma" w:cs="Arial"/>
          <w:i/>
          <w:color w:val="000000"/>
          <w:sz w:val="20"/>
          <w:szCs w:val="20"/>
        </w:rPr>
        <w:t>conservado. Mide 82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</w:t>
      </w:r>
      <w:r w:rsidR="0082677C">
        <w:rPr>
          <w:rFonts w:ascii="Tahoma" w:hAnsi="Tahoma" w:cs="Arial"/>
          <w:i/>
          <w:color w:val="000000"/>
          <w:sz w:val="20"/>
          <w:szCs w:val="20"/>
        </w:rPr>
        <w:t xml:space="preserve"> muscular el cual alcanza 3.4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6E1B8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E1B8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6E1B8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2677C" w:rsidRPr="00750BC2" w:rsidRDefault="0082677C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METEORISMO.</w:t>
      </w:r>
      <w:bookmarkStart w:id="0" w:name="_GoBack"/>
      <w:bookmarkEnd w:id="0"/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2677C">
      <w:pgSz w:w="11906" w:h="16838"/>
      <w:pgMar w:top="1276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2677C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267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267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Ecografistas</cp:lastModifiedBy>
  <cp:revision>15</cp:revision>
  <cp:lastPrinted>2019-04-23T15:57:00Z</cp:lastPrinted>
  <dcterms:created xsi:type="dcterms:W3CDTF">2016-02-10T16:02:00Z</dcterms:created>
  <dcterms:modified xsi:type="dcterms:W3CDTF">2019-04-23T15:58:00Z</dcterms:modified>
</cp:coreProperties>
</file>