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A8" w:rsidRPr="00CC5FAD" w:rsidRDefault="00CF59A8" w:rsidP="00CF59A8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CF59A8" w:rsidRPr="00CC5FAD" w:rsidRDefault="00CF59A8" w:rsidP="00CF59A8">
      <w:pPr>
        <w:pStyle w:val="Ttulo"/>
        <w:rPr>
          <w:rFonts w:ascii="Arial Black" w:hAnsi="Arial Black" w:cs="Tahoma"/>
          <w:b w:val="0"/>
          <w:i/>
          <w:color w:val="000000"/>
          <w:sz w:val="26"/>
        </w:rPr>
      </w:pPr>
      <w:r w:rsidRPr="00CC5FAD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CF59A8" w:rsidRPr="00CC5FAD" w:rsidRDefault="00CF59A8" w:rsidP="00CF59A8">
      <w:pPr>
        <w:rPr>
          <w:rFonts w:ascii="Tahoma" w:hAnsi="Tahoma" w:cs="Tahoma"/>
          <w:i/>
          <w:color w:val="000000"/>
        </w:rPr>
      </w:pPr>
    </w:p>
    <w:p w:rsidR="00CF59A8" w:rsidRPr="00CC5FAD" w:rsidRDefault="00CF59A8" w:rsidP="00CF59A8">
      <w:pPr>
        <w:rPr>
          <w:rFonts w:ascii="Tahoma" w:hAnsi="Tahoma" w:cs="Tahoma"/>
          <w:i/>
          <w:sz w:val="20"/>
          <w:szCs w:val="20"/>
        </w:rPr>
      </w:pPr>
      <w:r w:rsidRPr="00CC5FAD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CC5FAD">
        <w:rPr>
          <w:rFonts w:ascii="Tahoma" w:hAnsi="Tahoma" w:cs="Tahoma"/>
          <w:i/>
          <w:sz w:val="20"/>
          <w:szCs w:val="20"/>
        </w:rPr>
        <w:tab/>
      </w:r>
      <w:r w:rsidRPr="00CC5FAD">
        <w:rPr>
          <w:rFonts w:ascii="Tahoma" w:hAnsi="Tahoma" w:cs="Tahoma"/>
          <w:i/>
          <w:sz w:val="20"/>
          <w:szCs w:val="20"/>
        </w:rPr>
        <w:tab/>
      </w:r>
      <w:r w:rsidRPr="00CC5FAD">
        <w:rPr>
          <w:rFonts w:ascii="Tahoma" w:hAnsi="Tahoma" w:cs="Tahoma"/>
          <w:b/>
          <w:i/>
          <w:sz w:val="20"/>
          <w:szCs w:val="20"/>
        </w:rPr>
        <w:t>:</w:t>
      </w:r>
      <w:r w:rsidRPr="00CC5FAD">
        <w:rPr>
          <w:rFonts w:ascii="Tahoma" w:hAnsi="Tahoma" w:cs="Tahoma"/>
          <w:i/>
          <w:sz w:val="20"/>
          <w:szCs w:val="20"/>
        </w:rPr>
        <w:t xml:space="preserve"> </w:t>
      </w:r>
      <w:r w:rsidRPr="00CC5FAD">
        <w:rPr>
          <w:rFonts w:ascii="Tahoma" w:hAnsi="Tahoma" w:cs="Tahoma"/>
          <w:i/>
          <w:sz w:val="20"/>
          <w:szCs w:val="20"/>
        </w:rPr>
        <w:fldChar w:fldCharType="begin"/>
      </w:r>
      <w:r w:rsidRPr="00CC5FAD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CC5FAD">
        <w:rPr>
          <w:rFonts w:ascii="Tahoma" w:hAnsi="Tahoma" w:cs="Tahoma"/>
          <w:i/>
          <w:sz w:val="20"/>
          <w:szCs w:val="20"/>
        </w:rPr>
        <w:fldChar w:fldCharType="separate"/>
      </w:r>
      <w:r w:rsidRPr="00CC5FAD">
        <w:rPr>
          <w:rFonts w:ascii="Tahoma" w:hAnsi="Tahoma" w:cs="Tahoma"/>
          <w:i/>
          <w:sz w:val="20"/>
          <w:szCs w:val="20"/>
        </w:rPr>
        <w:t>REBOLLAR AGUIRRE GUILLERMO</w:t>
      </w:r>
      <w:r w:rsidRPr="00CC5FAD">
        <w:rPr>
          <w:rFonts w:ascii="Tahoma" w:hAnsi="Tahoma" w:cs="Tahoma"/>
          <w:i/>
          <w:sz w:val="20"/>
          <w:szCs w:val="20"/>
        </w:rPr>
        <w:fldChar w:fldCharType="end"/>
      </w:r>
    </w:p>
    <w:p w:rsidR="00CF59A8" w:rsidRPr="00CC5FAD" w:rsidRDefault="00CF59A8" w:rsidP="00CF59A8">
      <w:pPr>
        <w:rPr>
          <w:rFonts w:ascii="Tahoma" w:hAnsi="Tahoma" w:cs="Tahoma"/>
          <w:i/>
          <w:sz w:val="20"/>
          <w:szCs w:val="20"/>
        </w:rPr>
      </w:pPr>
      <w:r w:rsidRPr="00CC5FAD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CC5FAD">
        <w:rPr>
          <w:rFonts w:ascii="Tahoma" w:hAnsi="Tahoma" w:cs="Tahoma"/>
          <w:b/>
          <w:bCs/>
          <w:i/>
          <w:sz w:val="20"/>
          <w:szCs w:val="20"/>
        </w:rPr>
        <w:tab/>
      </w:r>
      <w:r w:rsidRPr="00CC5FAD">
        <w:rPr>
          <w:rFonts w:ascii="Tahoma" w:hAnsi="Tahoma" w:cs="Tahoma"/>
          <w:i/>
          <w:sz w:val="20"/>
          <w:szCs w:val="20"/>
        </w:rPr>
        <w:tab/>
      </w:r>
      <w:r w:rsidRPr="00CC5FAD">
        <w:rPr>
          <w:rFonts w:ascii="Tahoma" w:hAnsi="Tahoma" w:cs="Tahoma"/>
          <w:b/>
          <w:i/>
          <w:sz w:val="20"/>
          <w:szCs w:val="20"/>
        </w:rPr>
        <w:t>:</w:t>
      </w:r>
      <w:r w:rsidRPr="00CC5FAD">
        <w:rPr>
          <w:rFonts w:ascii="Tahoma" w:hAnsi="Tahoma" w:cs="Tahoma"/>
          <w:i/>
          <w:sz w:val="20"/>
          <w:szCs w:val="20"/>
        </w:rPr>
        <w:t xml:space="preserve"> </w:t>
      </w:r>
      <w:r w:rsidRPr="00CC5FAD">
        <w:rPr>
          <w:rFonts w:ascii="Tahoma" w:hAnsi="Tahoma" w:cs="Tahoma"/>
          <w:i/>
          <w:sz w:val="20"/>
          <w:szCs w:val="20"/>
        </w:rPr>
        <w:fldChar w:fldCharType="begin"/>
      </w:r>
      <w:r w:rsidRPr="00CC5FAD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CC5FAD">
        <w:rPr>
          <w:rFonts w:ascii="Tahoma" w:hAnsi="Tahoma" w:cs="Tahoma"/>
          <w:i/>
          <w:sz w:val="20"/>
          <w:szCs w:val="20"/>
        </w:rPr>
        <w:fldChar w:fldCharType="separate"/>
      </w:r>
      <w:r w:rsidRPr="00CC5FAD">
        <w:rPr>
          <w:rFonts w:ascii="Tahoma" w:hAnsi="Tahoma" w:cs="Tahoma"/>
          <w:i/>
          <w:sz w:val="20"/>
          <w:szCs w:val="20"/>
        </w:rPr>
        <w:t>ECOGRAFIA ABDOMINAL SUPERIOR</w:t>
      </w:r>
      <w:r w:rsidRPr="00CC5FAD">
        <w:rPr>
          <w:rFonts w:ascii="Tahoma" w:hAnsi="Tahoma" w:cs="Tahoma"/>
          <w:i/>
          <w:sz w:val="20"/>
          <w:szCs w:val="20"/>
        </w:rPr>
        <w:fldChar w:fldCharType="end"/>
      </w:r>
    </w:p>
    <w:p w:rsidR="00CF59A8" w:rsidRPr="00CC5FAD" w:rsidRDefault="00CF59A8" w:rsidP="00CF59A8">
      <w:pPr>
        <w:rPr>
          <w:rFonts w:ascii="Tahoma" w:hAnsi="Tahoma" w:cs="Tahoma"/>
          <w:i/>
          <w:sz w:val="20"/>
          <w:szCs w:val="20"/>
        </w:rPr>
      </w:pPr>
      <w:r w:rsidRPr="00CC5FAD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CC5FAD">
        <w:rPr>
          <w:rFonts w:ascii="Tahoma" w:hAnsi="Tahoma" w:cs="Tahoma"/>
          <w:b/>
          <w:bCs/>
          <w:i/>
          <w:sz w:val="20"/>
          <w:szCs w:val="20"/>
        </w:rPr>
        <w:tab/>
      </w:r>
      <w:r w:rsidRPr="00CC5FAD">
        <w:rPr>
          <w:rFonts w:ascii="Tahoma" w:hAnsi="Tahoma" w:cs="Tahoma"/>
          <w:b/>
          <w:bCs/>
          <w:i/>
          <w:sz w:val="20"/>
          <w:szCs w:val="20"/>
        </w:rPr>
        <w:tab/>
      </w:r>
      <w:r w:rsidRPr="00CC5FAD">
        <w:rPr>
          <w:rFonts w:ascii="Tahoma" w:hAnsi="Tahoma" w:cs="Tahoma"/>
          <w:b/>
          <w:i/>
          <w:sz w:val="20"/>
          <w:szCs w:val="20"/>
        </w:rPr>
        <w:t>:</w:t>
      </w:r>
      <w:r w:rsidRPr="00CC5FAD">
        <w:rPr>
          <w:rFonts w:ascii="Tahoma" w:hAnsi="Tahoma" w:cs="Tahoma"/>
          <w:i/>
          <w:sz w:val="20"/>
          <w:szCs w:val="20"/>
        </w:rPr>
        <w:t xml:space="preserve"> </w:t>
      </w:r>
      <w:r w:rsidRPr="00CC5FAD">
        <w:rPr>
          <w:rFonts w:ascii="Tahoma" w:hAnsi="Tahoma" w:cs="Tahoma"/>
          <w:i/>
          <w:sz w:val="20"/>
          <w:szCs w:val="20"/>
        </w:rPr>
        <w:fldChar w:fldCharType="begin"/>
      </w:r>
      <w:r w:rsidRPr="00CC5FAD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CC5FAD">
        <w:rPr>
          <w:rFonts w:ascii="Tahoma" w:hAnsi="Tahoma" w:cs="Tahoma"/>
          <w:i/>
          <w:sz w:val="20"/>
          <w:szCs w:val="20"/>
        </w:rPr>
        <w:fldChar w:fldCharType="separate"/>
      </w:r>
      <w:r w:rsidRPr="00CC5FAD">
        <w:rPr>
          <w:rFonts w:ascii="Tahoma" w:hAnsi="Tahoma" w:cs="Tahoma"/>
          <w:i/>
          <w:sz w:val="20"/>
          <w:szCs w:val="20"/>
        </w:rPr>
        <w:t>00015</w:t>
      </w:r>
      <w:r w:rsidRPr="00CC5FAD">
        <w:rPr>
          <w:rFonts w:ascii="Tahoma" w:hAnsi="Tahoma" w:cs="Tahoma"/>
          <w:i/>
          <w:sz w:val="20"/>
          <w:szCs w:val="20"/>
        </w:rPr>
        <w:fldChar w:fldCharType="end"/>
      </w:r>
    </w:p>
    <w:p w:rsidR="00CF59A8" w:rsidRPr="00CC5FAD" w:rsidRDefault="00CF59A8" w:rsidP="00CF59A8">
      <w:pPr>
        <w:rPr>
          <w:rFonts w:ascii="Tahoma" w:hAnsi="Tahoma" w:cs="Tahoma"/>
          <w:i/>
          <w:sz w:val="20"/>
          <w:szCs w:val="20"/>
        </w:rPr>
      </w:pPr>
      <w:r w:rsidRPr="00CC5FAD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CC5FAD">
        <w:rPr>
          <w:rFonts w:ascii="Tahoma" w:hAnsi="Tahoma" w:cs="Tahoma"/>
          <w:b/>
          <w:bCs/>
          <w:i/>
          <w:sz w:val="20"/>
          <w:szCs w:val="20"/>
        </w:rPr>
        <w:tab/>
      </w:r>
      <w:r w:rsidRPr="00CC5FAD">
        <w:rPr>
          <w:rFonts w:ascii="Tahoma" w:hAnsi="Tahoma" w:cs="Tahoma"/>
          <w:i/>
          <w:sz w:val="20"/>
          <w:szCs w:val="20"/>
        </w:rPr>
        <w:tab/>
      </w:r>
      <w:r w:rsidRPr="00CC5FAD">
        <w:rPr>
          <w:rFonts w:ascii="Tahoma" w:hAnsi="Tahoma" w:cs="Tahoma"/>
          <w:i/>
          <w:sz w:val="20"/>
          <w:szCs w:val="20"/>
        </w:rPr>
        <w:tab/>
      </w:r>
      <w:r w:rsidRPr="00CC5FAD">
        <w:rPr>
          <w:rFonts w:ascii="Tahoma" w:hAnsi="Tahoma" w:cs="Tahoma"/>
          <w:b/>
          <w:i/>
          <w:sz w:val="20"/>
          <w:szCs w:val="20"/>
        </w:rPr>
        <w:t>:</w:t>
      </w:r>
      <w:r w:rsidRPr="00CC5FAD">
        <w:rPr>
          <w:rFonts w:ascii="Tahoma" w:hAnsi="Tahoma" w:cs="Tahoma"/>
          <w:i/>
          <w:sz w:val="20"/>
          <w:szCs w:val="20"/>
        </w:rPr>
        <w:t xml:space="preserve"> </w:t>
      </w:r>
      <w:r w:rsidRPr="00CC5FAD">
        <w:rPr>
          <w:rFonts w:ascii="Tahoma" w:hAnsi="Tahoma" w:cs="Tahoma"/>
          <w:i/>
          <w:sz w:val="20"/>
          <w:szCs w:val="20"/>
        </w:rPr>
        <w:fldChar w:fldCharType="begin"/>
      </w:r>
      <w:r w:rsidRPr="00CC5FAD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CC5FAD">
        <w:rPr>
          <w:rFonts w:ascii="Tahoma" w:hAnsi="Tahoma" w:cs="Tahoma"/>
          <w:i/>
          <w:sz w:val="20"/>
          <w:szCs w:val="20"/>
        </w:rPr>
        <w:fldChar w:fldCharType="separate"/>
      </w:r>
      <w:r w:rsidRPr="00CC5FAD">
        <w:rPr>
          <w:rFonts w:ascii="Tahoma" w:hAnsi="Tahoma" w:cs="Tahoma"/>
          <w:i/>
          <w:sz w:val="20"/>
          <w:szCs w:val="20"/>
        </w:rPr>
        <w:t>25/03/2019</w:t>
      </w:r>
      <w:r w:rsidRPr="00CC5FAD">
        <w:rPr>
          <w:rFonts w:ascii="Tahoma" w:hAnsi="Tahoma" w:cs="Tahoma"/>
          <w:i/>
          <w:sz w:val="20"/>
          <w:szCs w:val="20"/>
        </w:rPr>
        <w:fldChar w:fldCharType="end"/>
      </w:r>
    </w:p>
    <w:p w:rsidR="00CF59A8" w:rsidRPr="00CC5FAD" w:rsidRDefault="00CF59A8" w:rsidP="00CF59A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CC5FAD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CC5FAD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CC5FAD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CC5FAD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CC5FAD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CC5FAD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CC5FAD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CF59A8" w:rsidRPr="00CC5FAD" w:rsidRDefault="00CF59A8" w:rsidP="00CF59A8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Hígado:</w:t>
      </w:r>
      <w:r w:rsidRPr="00CC5FA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forma, situación y tamaño conservado. Mide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>134</w:t>
      </w:r>
      <w:r w:rsidRPr="00CC5FA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 de longitud a nivel del LHD. Presenta incremento difuso de la ecogenicidad parenquimal sin presencia de imágenes compatibles con procesos expansivos. Espacio de Morrison libre de colecciones. Vías biliares, venas y ramas portales </w:t>
      </w:r>
      <w:proofErr w:type="spellStart"/>
      <w:r w:rsidRPr="00CC5FAD"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 w:rsidRPr="00CC5FA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Porta principal mide 8mm.  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decuadamente distendida,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presenta acodadura a nivel corporal 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siendo sus medidas de </w:t>
      </w:r>
      <w:r>
        <w:rPr>
          <w:rFonts w:ascii="Tahoma" w:hAnsi="Tahoma" w:cs="Tahoma"/>
          <w:i/>
          <w:color w:val="000000"/>
          <w:sz w:val="18"/>
          <w:szCs w:val="18"/>
        </w:rPr>
        <w:t>54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18"/>
        </w:rPr>
        <w:t>22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>mm.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, en 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>longitudinal y AP. Sus paredes se muestran conservadas</w:t>
      </w:r>
      <w:r>
        <w:rPr>
          <w:rFonts w:ascii="Tahoma" w:hAnsi="Tahoma" w:cs="Tahoma"/>
          <w:i/>
          <w:color w:val="000000"/>
          <w:sz w:val="18"/>
          <w:szCs w:val="18"/>
        </w:rPr>
        <w:t>, mide 2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>mm de grosor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visualizándose en la superficie corporal anterior la presencia de múltiples artefactos en “COLA DE COMETA”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No se evidencian imágenes </w:t>
      </w:r>
      <w:proofErr w:type="spellStart"/>
      <w:r w:rsidRPr="00CC5FAD">
        <w:rPr>
          <w:rFonts w:ascii="Tahoma" w:hAnsi="Tahoma" w:cs="Tahoma"/>
          <w:i/>
          <w:color w:val="000000"/>
          <w:sz w:val="18"/>
          <w:szCs w:val="18"/>
        </w:rPr>
        <w:t>litiásicas</w:t>
      </w:r>
      <w:proofErr w:type="spellEnd"/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 ni pólipos al interior.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Colédoco proximal libre de cálculos, mide 2mm.</w:t>
      </w:r>
    </w:p>
    <w:p w:rsidR="00CF59A8" w:rsidRPr="00CC5FAD" w:rsidRDefault="00CF59A8" w:rsidP="00CF59A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CF59A8" w:rsidRPr="00CC5FAD" w:rsidRDefault="00CF59A8" w:rsidP="00CF59A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18"/>
        </w:rPr>
        <w:t>29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>mm de diámetro AP a nivel de la cabeza.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Estructura y parénquima homogéneo, bordes regulares y lisos, no presenta procesos invasivos y/o expansivos ni calcificaciones. Mide 6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>mm de longitud.</w:t>
      </w:r>
    </w:p>
    <w:p w:rsidR="00CF59A8" w:rsidRPr="00CC5FAD" w:rsidRDefault="00CF59A8" w:rsidP="00CF59A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CF59A8" w:rsidRPr="00CC5FAD" w:rsidRDefault="00CF59A8" w:rsidP="00CF59A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>Est</w:t>
      </w:r>
      <w:r>
        <w:rPr>
          <w:rFonts w:ascii="Tahoma" w:hAnsi="Tahoma" w:cs="Tahoma"/>
          <w:b/>
          <w:i/>
          <w:color w:val="000000"/>
          <w:sz w:val="18"/>
          <w:szCs w:val="18"/>
        </w:rPr>
        <w:t>ó</w:t>
      </w: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>mago: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CC5FAD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</w:t>
      </w:r>
      <w:r>
        <w:rPr>
          <w:rFonts w:ascii="Tahoma" w:hAnsi="Tahoma" w:cs="Tahoma"/>
          <w:i/>
          <w:color w:val="000000"/>
          <w:sz w:val="18"/>
          <w:szCs w:val="18"/>
        </w:rPr>
        <w:t>2.1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>mm., de espesor mayor (valor referencial: &lt;5mm), patrón mucoso de ecogenicidad conservada. Demás compartimentos del est</w:t>
      </w:r>
      <w:r>
        <w:rPr>
          <w:rFonts w:ascii="Tahoma" w:hAnsi="Tahoma" w:cs="Tahoma"/>
          <w:i/>
          <w:color w:val="000000"/>
          <w:sz w:val="18"/>
          <w:szCs w:val="18"/>
        </w:rPr>
        <w:t>ó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mago no valorables por esta modalidad diagnostica. 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>A</w:t>
      </w:r>
      <w:r>
        <w:rPr>
          <w:rFonts w:ascii="Tahoma" w:hAnsi="Tahoma" w:cs="Tahoma"/>
          <w:b/>
          <w:i/>
          <w:color w:val="000000"/>
          <w:sz w:val="18"/>
          <w:szCs w:val="18"/>
        </w:rPr>
        <w:t>o</w:t>
      </w: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>rta y vena cava inferior</w:t>
      </w:r>
      <w:r w:rsidRPr="00CC5FAD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No se evidencian masas y/o liquido libre en cavidad peritoneal.</w:t>
      </w:r>
    </w:p>
    <w:p w:rsidR="00CF59A8" w:rsidRPr="00CC5FAD" w:rsidRDefault="00CF59A8" w:rsidP="00CF59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b/>
          <w:i/>
          <w:color w:val="000000"/>
          <w:sz w:val="18"/>
          <w:szCs w:val="18"/>
        </w:rPr>
        <w:t>IDx:</w:t>
      </w:r>
    </w:p>
    <w:p w:rsidR="00CF59A8" w:rsidRPr="00CC5FAD" w:rsidRDefault="00CF59A8" w:rsidP="00CF59A8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CF59A8" w:rsidRDefault="00CF59A8" w:rsidP="00CF59A8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ESTEATOSIS HEPATICA DIFUSA LEVE (GRADO I).</w:t>
      </w:r>
    </w:p>
    <w:p w:rsidR="00CF59A8" w:rsidRPr="00CC5FAD" w:rsidRDefault="00CF59A8" w:rsidP="00CF59A8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MULTIPLES ARTEFACTOS EN “COLA DE COMETA” INVOLUCRANDO SUPERFICIE DE LA PARED VESICULAR – D/C ADENOMIOMATOSIS.</w:t>
      </w:r>
    </w:p>
    <w:p w:rsidR="00CF59A8" w:rsidRPr="00CC5FAD" w:rsidRDefault="00CF59A8" w:rsidP="00CF59A8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CF59A8" w:rsidRPr="00CC5FAD" w:rsidRDefault="00CF59A8" w:rsidP="00CF59A8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CONTROL POSTERIOR.</w:t>
      </w:r>
    </w:p>
    <w:p w:rsidR="00CF59A8" w:rsidRPr="00CC5FAD" w:rsidRDefault="00CF59A8" w:rsidP="00CF59A8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F59A8" w:rsidRPr="00CC5FAD" w:rsidRDefault="00CF59A8" w:rsidP="00CF59A8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C5FA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B5821" w:rsidRPr="00CF59A8" w:rsidRDefault="007B5821" w:rsidP="00CF59A8"/>
    <w:sectPr w:rsidR="007B5821" w:rsidRPr="00CF59A8" w:rsidSect="001F5572">
      <w:pgSz w:w="11906" w:h="16838"/>
      <w:pgMar w:top="16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59A8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CF59A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2019-03-26T17:09:00Z</dcterms:modified>
</cp:coreProperties>
</file>