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LAURA GUARDIA HORTA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F52764" w:rsidRDefault="00F52764" w:rsidP="00F52764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F52764" w:rsidRDefault="00F52764" w:rsidP="00F5276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F52764" w:rsidRDefault="00F52764" w:rsidP="00F52764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28mm.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F52764" w:rsidRDefault="00F52764" w:rsidP="00F5276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endometrio 3mm de espesor.</w:t>
      </w:r>
    </w:p>
    <w:p w:rsidR="00F52764" w:rsidRDefault="00F52764" w:rsidP="00F5276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Se evidencia imagen de colección anecogénica homogénea en cavidad uterina.</w:t>
      </w:r>
    </w:p>
    <w:p w:rsidR="00F52764" w:rsidRDefault="00F52764" w:rsidP="00F5276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Adecuada interfase endometrio – miometrio.</w:t>
      </w:r>
    </w:p>
    <w:p w:rsidR="00F52764" w:rsidRDefault="00F52764" w:rsidP="00F5276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 Se objetiva la presencia de moco en canal endocervical.</w:t>
      </w:r>
    </w:p>
    <w:p w:rsidR="00F52764" w:rsidRDefault="00F52764" w:rsidP="00F52764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21 x 14mm. </w:t>
      </w: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F52764" w:rsidRDefault="00F52764" w:rsidP="00F5276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26 x 16mm. </w:t>
      </w: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evidencia una imagen quística simple de 14 x 10mm.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diámetro.</w:t>
      </w: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Presencia de líquido libre de mínima cantidad.</w:t>
      </w:r>
    </w:p>
    <w:p w:rsidR="00F52764" w:rsidRDefault="00F52764" w:rsidP="00F5276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F52764" w:rsidRDefault="00F52764" w:rsidP="00F5276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52764" w:rsidRDefault="00F52764" w:rsidP="00F52764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F52764" w:rsidRDefault="00F52764" w:rsidP="00F52764">
      <w:pPr>
        <w:numPr>
          <w:ilvl w:val="0"/>
          <w:numId w:val="24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COLECCIÓN ANECOGENICA EN CAVIDAD UTERINA – HIDROMETRA DE EAD.</w:t>
      </w:r>
    </w:p>
    <w:p w:rsidR="00F52764" w:rsidRDefault="00F52764" w:rsidP="00F52764">
      <w:pPr>
        <w:numPr>
          <w:ilvl w:val="0"/>
          <w:numId w:val="24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F52764" w:rsidRDefault="00F52764" w:rsidP="00F52764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Tahoma"/>
          <w:b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 Y EXAMENES DE LABORATORIO.</w:t>
      </w: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52764" w:rsidRDefault="00F52764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F52764" w:rsidRDefault="00F52764" w:rsidP="00F52764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F527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2764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C6D678-9D27-4127-A732-DBB8B5D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5276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F5276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2019-03-30T23:12:00Z</dcterms:modified>
</cp:coreProperties>
</file>