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 CHANG GAMEZ BRUNO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04-04-2019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0A14B4" w:rsidRDefault="000A14B4" w:rsidP="000A14B4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0A14B4" w:rsidRDefault="000A14B4" w:rsidP="000A14B4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0A14B4" w:rsidRDefault="000A14B4" w:rsidP="000A14B4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0A14B4" w:rsidRDefault="000A14B4" w:rsidP="000A14B4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>
        <w:rPr>
          <w:rFonts w:ascii="Tahoma" w:hAnsi="Tahoma" w:cs="Tahoma"/>
          <w:b/>
          <w:i/>
          <w:color w:val="000000"/>
          <w:sz w:val="18"/>
          <w:szCs w:val="18"/>
        </w:rPr>
        <w:t xml:space="preserve"> FEMENINO.</w:t>
      </w:r>
    </w:p>
    <w:p w:rsidR="000A14B4" w:rsidRDefault="000A14B4" w:rsidP="000A14B4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71mm.   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264mm. </w:t>
      </w: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241mm.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Longitud de Fémur</w:t>
      </w:r>
      <w:r>
        <w:rPr>
          <w:rFonts w:ascii="Tahoma" w:hAnsi="Tahoma" w:cs="Tahoma"/>
          <w:i/>
          <w:color w:val="000000"/>
          <w:sz w:val="18"/>
          <w:szCs w:val="18"/>
        </w:rPr>
        <w:tab/>
        <w:t>: 52mm.</w:t>
      </w: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1195gr.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0A14B4" w:rsidRDefault="000A14B4" w:rsidP="000A14B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138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Localizada en la pared posterior. Espesor: 30mm.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Índice de Líquido Amniótico: 20cm. (VN.: 5.0 – 25.0cm.).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0A14B4" w:rsidRDefault="000A14B4" w:rsidP="000A14B4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ÚNICA ACTIVA DE 28.2 +/- 1.0 SEMANAS X BIOMETRÍA FETAL.</w:t>
      </w:r>
    </w:p>
    <w:p w:rsidR="000A14B4" w:rsidRDefault="000A14B4" w:rsidP="000A14B4">
      <w:pPr>
        <w:numPr>
          <w:ilvl w:val="0"/>
          <w:numId w:val="4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A14B4" w:rsidRDefault="000A14B4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0A14B4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4B4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92D6FAC-B008-4162-A47E-FDB950C6B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A14B4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2019-04-04T22:25:00Z</dcterms:modified>
</cp:coreProperties>
</file>