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LOURDES LUCAS DE LA CRUZ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C741E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95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C741E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C741E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54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C741E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154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C741E9">
        <w:rPr>
          <w:rFonts w:ascii="Tahoma" w:hAnsi="Tahoma" w:cs="Arial"/>
          <w:i/>
          <w:noProof/>
          <w:sz w:val="20"/>
          <w:szCs w:val="20"/>
        </w:rPr>
        <w:t>15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SACO DE DOUGLAS:</w:t>
      </w:r>
      <w:r w:rsidR="00C741E9">
        <w:rPr>
          <w:rFonts w:ascii="Tahoma" w:hAnsi="Tahoma" w:cs="Arial"/>
          <w:bCs/>
          <w:i/>
          <w:sz w:val="20"/>
          <w:szCs w:val="20"/>
        </w:rPr>
        <w:t xml:space="preserve"> Libre</w:t>
      </w:r>
      <w:r w:rsidRPr="00FB06C8">
        <w:rPr>
          <w:rFonts w:ascii="Tahoma" w:hAnsi="Tahoma" w:cs="Arial"/>
          <w:bCs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C741E9" w:rsidRDefault="00C741E9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C741E9" w:rsidRPr="00C741E9" w:rsidRDefault="002211BF" w:rsidP="00C741E9">
      <w:pPr>
        <w:pStyle w:val="Textoindependiente"/>
        <w:numPr>
          <w:ilvl w:val="0"/>
          <w:numId w:val="26"/>
        </w:numPr>
        <w:rPr>
          <w:rFonts w:ascii="Tahoma" w:hAnsi="Tahoma"/>
          <w:i/>
          <w:szCs w:val="20"/>
          <w:lang w:val="es-PE"/>
        </w:rPr>
      </w:pPr>
      <w:r w:rsidRPr="00C741E9">
        <w:rPr>
          <w:rFonts w:ascii="Tahoma" w:hAnsi="Tahoma"/>
          <w:i/>
          <w:noProof/>
          <w:szCs w:val="20"/>
        </w:rPr>
        <w:t>COLECCIÓN MIXTA ECOG</w:t>
      </w:r>
      <w:r w:rsidR="00A91AD2" w:rsidRPr="00C741E9">
        <w:rPr>
          <w:rFonts w:ascii="Tahoma" w:hAnsi="Tahoma"/>
          <w:i/>
          <w:noProof/>
          <w:szCs w:val="20"/>
        </w:rPr>
        <w:t>É</w:t>
      </w:r>
      <w:r w:rsidRPr="00C741E9">
        <w:rPr>
          <w:rFonts w:ascii="Tahoma" w:hAnsi="Tahoma"/>
          <w:i/>
          <w:noProof/>
          <w:szCs w:val="20"/>
        </w:rPr>
        <w:t>NICA HETEROG</w:t>
      </w:r>
      <w:r w:rsidR="00A91AD2" w:rsidRPr="00C741E9">
        <w:rPr>
          <w:rFonts w:ascii="Tahoma" w:hAnsi="Tahoma"/>
          <w:i/>
          <w:noProof/>
          <w:szCs w:val="20"/>
        </w:rPr>
        <w:t>É</w:t>
      </w:r>
      <w:r w:rsidRPr="00C741E9">
        <w:rPr>
          <w:rFonts w:ascii="Tahoma" w:hAnsi="Tahoma"/>
          <w:i/>
          <w:noProof/>
          <w:szCs w:val="20"/>
        </w:rPr>
        <w:t xml:space="preserve">NEA EN CAVIDAD UTERINA </w:t>
      </w:r>
      <w:r w:rsidR="00C741E9" w:rsidRPr="00C741E9">
        <w:rPr>
          <w:rFonts w:ascii="Tahoma" w:hAnsi="Tahoma"/>
          <w:i/>
          <w:noProof/>
          <w:szCs w:val="20"/>
        </w:rPr>
        <w:t xml:space="preserve">DE EAD. </w:t>
      </w:r>
    </w:p>
    <w:p w:rsidR="004E2A7F" w:rsidRPr="00C741E9" w:rsidRDefault="00C741E9" w:rsidP="00C741E9">
      <w:pPr>
        <w:pStyle w:val="Textoindependiente"/>
        <w:ind w:left="720"/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– D/C ABORTO INCOMPLETO. – D/C COAGULOS EN FASE DE ORGANIZACIÓN.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C741E9" w:rsidRDefault="00C741E9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C741E9" w:rsidRDefault="00C741E9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22D1E"/>
    <w:multiLevelType w:val="hybridMultilevel"/>
    <w:tmpl w:val="334C38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23"/>
  </w:num>
  <w:num w:numId="9">
    <w:abstractNumId w:val="21"/>
  </w:num>
  <w:num w:numId="10">
    <w:abstractNumId w:val="6"/>
  </w:num>
  <w:num w:numId="11">
    <w:abstractNumId w:val="5"/>
  </w:num>
  <w:num w:numId="12">
    <w:abstractNumId w:val="17"/>
  </w:num>
  <w:num w:numId="13">
    <w:abstractNumId w:val="12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0"/>
  </w:num>
  <w:num w:numId="19">
    <w:abstractNumId w:val="14"/>
  </w:num>
  <w:num w:numId="20">
    <w:abstractNumId w:val="20"/>
  </w:num>
  <w:num w:numId="21">
    <w:abstractNumId w:val="24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1E9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864234-3153-4265-9837-28ECD899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741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41E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2019-04-11T19:03:00Z</cp:lastPrinted>
  <dcterms:created xsi:type="dcterms:W3CDTF">2016-02-10T16:09:00Z</dcterms:created>
  <dcterms:modified xsi:type="dcterms:W3CDTF">2019-04-11T19:03:00Z</dcterms:modified>
</cp:coreProperties>
</file>