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8F" w:rsidRPr="00D63954" w:rsidRDefault="0066018F" w:rsidP="0066018F">
      <w:pPr>
        <w:pStyle w:val="Puesto"/>
        <w:rPr>
          <w:rFonts w:ascii="Arial Black" w:hAnsi="Arial Black" w:cs="Tahoma"/>
          <w:b w:val="0"/>
          <w:i/>
          <w:szCs w:val="28"/>
          <w:u w:val="single"/>
        </w:rPr>
      </w:pPr>
      <w:bookmarkStart w:id="0" w:name="_GoBack"/>
      <w:bookmarkEnd w:id="0"/>
      <w:r w:rsidRPr="00D63954">
        <w:rPr>
          <w:rFonts w:ascii="Arial Black" w:hAnsi="Arial Black" w:cs="Tahoma"/>
          <w:b w:val="0"/>
          <w:i/>
          <w:szCs w:val="28"/>
          <w:u w:val="single"/>
        </w:rPr>
        <w:t>INFORME ECOGR</w:t>
      </w:r>
      <w:r>
        <w:rPr>
          <w:rFonts w:ascii="Arial Black" w:hAnsi="Arial Black" w:cs="Tahoma"/>
          <w:b w:val="0"/>
          <w:i/>
          <w:szCs w:val="28"/>
          <w:u w:val="single"/>
        </w:rPr>
        <w:t>Á</w:t>
      </w:r>
      <w:r w:rsidRPr="00D63954">
        <w:rPr>
          <w:rFonts w:ascii="Arial Black" w:hAnsi="Arial Black" w:cs="Tahoma"/>
          <w:b w:val="0"/>
          <w:i/>
          <w:szCs w:val="28"/>
          <w:u w:val="single"/>
        </w:rPr>
        <w:t>FICO</w:t>
      </w:r>
    </w:p>
    <w:p w:rsidR="0066018F" w:rsidRPr="00D63954" w:rsidRDefault="0066018F" w:rsidP="0066018F">
      <w:pPr>
        <w:rPr>
          <w:rFonts w:ascii="Tahoma" w:hAnsi="Tahoma" w:cs="Tahoma"/>
          <w:i/>
          <w:sz w:val="20"/>
          <w:szCs w:val="20"/>
        </w:rPr>
      </w:pPr>
    </w:p>
    <w:p w:rsidR="0066018F" w:rsidRPr="00D63954" w:rsidRDefault="0066018F" w:rsidP="0066018F">
      <w:pPr>
        <w:rPr>
          <w:rFonts w:ascii="Tahoma" w:hAnsi="Tahoma" w:cs="Tahoma"/>
          <w:i/>
          <w:sz w:val="20"/>
          <w:szCs w:val="20"/>
        </w:rPr>
      </w:pPr>
      <w:r w:rsidRPr="00D63954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D63954">
        <w:rPr>
          <w:rFonts w:ascii="Tahoma" w:hAnsi="Tahoma" w:cs="Tahoma"/>
          <w:i/>
          <w:sz w:val="20"/>
          <w:szCs w:val="20"/>
        </w:rPr>
        <w:tab/>
      </w:r>
      <w:r w:rsidRPr="00D63954">
        <w:rPr>
          <w:rFonts w:ascii="Tahoma" w:hAnsi="Tahoma" w:cs="Tahoma"/>
          <w:i/>
          <w:sz w:val="20"/>
          <w:szCs w:val="20"/>
        </w:rPr>
        <w:tab/>
      </w:r>
      <w:r w:rsidRPr="00D63954">
        <w:rPr>
          <w:rFonts w:ascii="Tahoma" w:hAnsi="Tahoma" w:cs="Tahoma"/>
          <w:b/>
          <w:i/>
          <w:sz w:val="20"/>
          <w:szCs w:val="20"/>
        </w:rPr>
        <w:t>:</w:t>
      </w:r>
      <w:r w:rsidRPr="00D63954">
        <w:rPr>
          <w:rFonts w:ascii="Tahoma" w:hAnsi="Tahoma" w:cs="Tahoma"/>
          <w:i/>
          <w:sz w:val="20"/>
          <w:szCs w:val="20"/>
        </w:rPr>
        <w:t xml:space="preserve"> </w:t>
      </w:r>
      <w:r w:rsidRPr="00D63954">
        <w:rPr>
          <w:rFonts w:ascii="Tahoma" w:hAnsi="Tahoma" w:cs="Tahoma"/>
          <w:i/>
          <w:sz w:val="20"/>
          <w:szCs w:val="20"/>
        </w:rPr>
        <w:fldChar w:fldCharType="begin"/>
      </w:r>
      <w:r w:rsidRPr="00D63954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D63954">
        <w:rPr>
          <w:rFonts w:ascii="Tahoma" w:hAnsi="Tahoma" w:cs="Tahoma"/>
          <w:i/>
          <w:sz w:val="20"/>
          <w:szCs w:val="20"/>
        </w:rPr>
        <w:fldChar w:fldCharType="separate"/>
      </w:r>
      <w:r w:rsidRPr="00D63954">
        <w:rPr>
          <w:rFonts w:ascii="Tahoma" w:hAnsi="Tahoma" w:cs="Tahoma"/>
          <w:i/>
          <w:sz w:val="20"/>
          <w:szCs w:val="20"/>
        </w:rPr>
        <w:t>ACUÑA CALIXTO LUZ GENARA</w:t>
      </w:r>
      <w:r w:rsidRPr="00D63954">
        <w:rPr>
          <w:rFonts w:ascii="Tahoma" w:hAnsi="Tahoma" w:cs="Tahoma"/>
          <w:i/>
          <w:sz w:val="20"/>
          <w:szCs w:val="20"/>
        </w:rPr>
        <w:fldChar w:fldCharType="end"/>
      </w:r>
    </w:p>
    <w:p w:rsidR="0066018F" w:rsidRPr="00D63954" w:rsidRDefault="0066018F" w:rsidP="0066018F">
      <w:pPr>
        <w:rPr>
          <w:rFonts w:ascii="Tahoma" w:hAnsi="Tahoma" w:cs="Tahoma"/>
          <w:i/>
          <w:sz w:val="20"/>
          <w:szCs w:val="20"/>
        </w:rPr>
      </w:pPr>
      <w:r w:rsidRPr="00D63954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D63954">
        <w:rPr>
          <w:rFonts w:ascii="Tahoma" w:hAnsi="Tahoma" w:cs="Tahoma"/>
          <w:b/>
          <w:bCs/>
          <w:i/>
          <w:sz w:val="20"/>
          <w:szCs w:val="20"/>
        </w:rPr>
        <w:tab/>
      </w:r>
      <w:r w:rsidRPr="00D63954">
        <w:rPr>
          <w:rFonts w:ascii="Tahoma" w:hAnsi="Tahoma" w:cs="Tahoma"/>
          <w:i/>
          <w:sz w:val="20"/>
          <w:szCs w:val="20"/>
        </w:rPr>
        <w:tab/>
      </w:r>
      <w:r w:rsidRPr="00D63954">
        <w:rPr>
          <w:rFonts w:ascii="Tahoma" w:hAnsi="Tahoma" w:cs="Tahoma"/>
          <w:b/>
          <w:i/>
          <w:sz w:val="20"/>
          <w:szCs w:val="20"/>
        </w:rPr>
        <w:t>:</w:t>
      </w:r>
      <w:r w:rsidRPr="00D63954">
        <w:rPr>
          <w:rFonts w:ascii="Tahoma" w:hAnsi="Tahoma" w:cs="Tahoma"/>
          <w:i/>
          <w:sz w:val="20"/>
          <w:szCs w:val="20"/>
        </w:rPr>
        <w:t xml:space="preserve"> </w:t>
      </w:r>
      <w:r w:rsidRPr="00D63954">
        <w:rPr>
          <w:rFonts w:ascii="Tahoma" w:hAnsi="Tahoma" w:cs="Tahoma"/>
          <w:i/>
          <w:sz w:val="20"/>
          <w:szCs w:val="20"/>
        </w:rPr>
        <w:fldChar w:fldCharType="begin"/>
      </w:r>
      <w:r w:rsidRPr="00D63954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D63954">
        <w:rPr>
          <w:rFonts w:ascii="Tahoma" w:hAnsi="Tahoma" w:cs="Tahoma"/>
          <w:i/>
          <w:sz w:val="20"/>
          <w:szCs w:val="20"/>
        </w:rPr>
        <w:fldChar w:fldCharType="separate"/>
      </w:r>
      <w:r w:rsidRPr="00D63954">
        <w:rPr>
          <w:rFonts w:ascii="Tahoma" w:hAnsi="Tahoma" w:cs="Tahoma"/>
          <w:i/>
          <w:sz w:val="20"/>
          <w:szCs w:val="20"/>
        </w:rPr>
        <w:t xml:space="preserve">ECOGRAFIA </w:t>
      </w:r>
      <w:r>
        <w:rPr>
          <w:rFonts w:ascii="Tahoma" w:hAnsi="Tahoma" w:cs="Tahoma"/>
          <w:i/>
          <w:sz w:val="20"/>
          <w:szCs w:val="20"/>
        </w:rPr>
        <w:t xml:space="preserve">DE </w:t>
      </w:r>
      <w:r w:rsidRPr="00D63954">
        <w:rPr>
          <w:rFonts w:ascii="Tahoma" w:hAnsi="Tahoma" w:cs="Tahoma"/>
          <w:i/>
          <w:sz w:val="20"/>
          <w:szCs w:val="20"/>
        </w:rPr>
        <w:t>PARTES BLANDAS</w:t>
      </w:r>
      <w:r w:rsidRPr="00D63954">
        <w:rPr>
          <w:rFonts w:ascii="Tahoma" w:hAnsi="Tahoma" w:cs="Tahoma"/>
          <w:i/>
          <w:sz w:val="20"/>
          <w:szCs w:val="20"/>
        </w:rPr>
        <w:fldChar w:fldCharType="end"/>
      </w:r>
    </w:p>
    <w:p w:rsidR="0066018F" w:rsidRPr="00D63954" w:rsidRDefault="0066018F" w:rsidP="0066018F">
      <w:pPr>
        <w:rPr>
          <w:rFonts w:ascii="Tahoma" w:hAnsi="Tahoma" w:cs="Tahoma"/>
          <w:i/>
          <w:sz w:val="20"/>
          <w:szCs w:val="20"/>
        </w:rPr>
      </w:pPr>
      <w:r w:rsidRPr="00D63954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D63954">
        <w:rPr>
          <w:rFonts w:ascii="Tahoma" w:hAnsi="Tahoma" w:cs="Tahoma"/>
          <w:b/>
          <w:bCs/>
          <w:i/>
          <w:sz w:val="20"/>
          <w:szCs w:val="20"/>
        </w:rPr>
        <w:tab/>
      </w:r>
      <w:r w:rsidRPr="00D63954">
        <w:rPr>
          <w:rFonts w:ascii="Tahoma" w:hAnsi="Tahoma" w:cs="Tahoma"/>
          <w:b/>
          <w:bCs/>
          <w:i/>
          <w:sz w:val="20"/>
          <w:szCs w:val="20"/>
        </w:rPr>
        <w:tab/>
      </w:r>
      <w:r w:rsidRPr="00D63954">
        <w:rPr>
          <w:rFonts w:ascii="Tahoma" w:hAnsi="Tahoma" w:cs="Tahoma"/>
          <w:b/>
          <w:i/>
          <w:sz w:val="20"/>
          <w:szCs w:val="20"/>
        </w:rPr>
        <w:t>:</w:t>
      </w:r>
      <w:r w:rsidRPr="00D63954">
        <w:rPr>
          <w:rFonts w:ascii="Tahoma" w:hAnsi="Tahoma" w:cs="Tahoma"/>
          <w:i/>
          <w:sz w:val="20"/>
          <w:szCs w:val="20"/>
        </w:rPr>
        <w:t xml:space="preserve"> </w:t>
      </w:r>
      <w:r w:rsidRPr="00D63954">
        <w:rPr>
          <w:rFonts w:ascii="Tahoma" w:hAnsi="Tahoma" w:cs="Tahoma"/>
          <w:i/>
          <w:sz w:val="20"/>
          <w:szCs w:val="20"/>
        </w:rPr>
        <w:fldChar w:fldCharType="begin"/>
      </w:r>
      <w:r w:rsidRPr="00D63954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D63954">
        <w:rPr>
          <w:rFonts w:ascii="Tahoma" w:hAnsi="Tahoma" w:cs="Tahoma"/>
          <w:i/>
          <w:sz w:val="20"/>
          <w:szCs w:val="20"/>
        </w:rPr>
        <w:fldChar w:fldCharType="separate"/>
      </w:r>
      <w:r w:rsidRPr="00D63954">
        <w:rPr>
          <w:rFonts w:ascii="Tahoma" w:hAnsi="Tahoma" w:cs="Tahoma"/>
          <w:i/>
          <w:sz w:val="20"/>
          <w:szCs w:val="20"/>
        </w:rPr>
        <w:t>00012</w:t>
      </w:r>
      <w:r w:rsidRPr="00D63954">
        <w:rPr>
          <w:rFonts w:ascii="Tahoma" w:hAnsi="Tahoma" w:cs="Tahoma"/>
          <w:i/>
          <w:sz w:val="20"/>
          <w:szCs w:val="20"/>
        </w:rPr>
        <w:fldChar w:fldCharType="end"/>
      </w:r>
    </w:p>
    <w:p w:rsidR="0066018F" w:rsidRPr="00D63954" w:rsidRDefault="0066018F" w:rsidP="0066018F">
      <w:pPr>
        <w:rPr>
          <w:rFonts w:ascii="Tahoma" w:hAnsi="Tahoma" w:cs="Tahoma"/>
          <w:i/>
          <w:sz w:val="20"/>
          <w:szCs w:val="20"/>
        </w:rPr>
      </w:pPr>
      <w:r w:rsidRPr="00D63954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D63954">
        <w:rPr>
          <w:rFonts w:ascii="Tahoma" w:hAnsi="Tahoma" w:cs="Tahoma"/>
          <w:b/>
          <w:bCs/>
          <w:i/>
          <w:sz w:val="20"/>
          <w:szCs w:val="20"/>
        </w:rPr>
        <w:tab/>
      </w:r>
      <w:r w:rsidRPr="00D63954">
        <w:rPr>
          <w:rFonts w:ascii="Tahoma" w:hAnsi="Tahoma" w:cs="Tahoma"/>
          <w:i/>
          <w:sz w:val="20"/>
          <w:szCs w:val="20"/>
        </w:rPr>
        <w:tab/>
      </w:r>
      <w:r w:rsidRPr="00D63954">
        <w:rPr>
          <w:rFonts w:ascii="Tahoma" w:hAnsi="Tahoma" w:cs="Tahoma"/>
          <w:i/>
          <w:sz w:val="20"/>
          <w:szCs w:val="20"/>
        </w:rPr>
        <w:tab/>
      </w:r>
      <w:r w:rsidRPr="00D63954">
        <w:rPr>
          <w:rFonts w:ascii="Tahoma" w:hAnsi="Tahoma" w:cs="Tahoma"/>
          <w:b/>
          <w:i/>
          <w:sz w:val="20"/>
          <w:szCs w:val="20"/>
        </w:rPr>
        <w:t>:</w:t>
      </w:r>
      <w:r w:rsidRPr="00D63954">
        <w:rPr>
          <w:rFonts w:ascii="Tahoma" w:hAnsi="Tahoma" w:cs="Tahoma"/>
          <w:i/>
          <w:sz w:val="20"/>
          <w:szCs w:val="20"/>
        </w:rPr>
        <w:t xml:space="preserve"> </w:t>
      </w:r>
      <w:r w:rsidRPr="00D63954">
        <w:rPr>
          <w:rFonts w:ascii="Tahoma" w:hAnsi="Tahoma" w:cs="Tahoma"/>
          <w:i/>
          <w:sz w:val="20"/>
          <w:szCs w:val="20"/>
        </w:rPr>
        <w:fldChar w:fldCharType="begin"/>
      </w:r>
      <w:r w:rsidRPr="00D63954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D63954">
        <w:rPr>
          <w:rFonts w:ascii="Tahoma" w:hAnsi="Tahoma" w:cs="Tahoma"/>
          <w:i/>
          <w:sz w:val="20"/>
          <w:szCs w:val="20"/>
        </w:rPr>
        <w:fldChar w:fldCharType="separate"/>
      </w:r>
      <w:r w:rsidRPr="00D63954">
        <w:rPr>
          <w:rFonts w:ascii="Tahoma" w:hAnsi="Tahoma" w:cs="Tahoma"/>
          <w:i/>
          <w:sz w:val="20"/>
          <w:szCs w:val="20"/>
        </w:rPr>
        <w:t>20/03/2019</w:t>
      </w:r>
      <w:r w:rsidRPr="00D63954">
        <w:rPr>
          <w:rFonts w:ascii="Tahoma" w:hAnsi="Tahoma" w:cs="Tahoma"/>
          <w:i/>
          <w:sz w:val="20"/>
          <w:szCs w:val="20"/>
        </w:rPr>
        <w:fldChar w:fldCharType="end"/>
      </w:r>
    </w:p>
    <w:p w:rsidR="0066018F" w:rsidRPr="00D63954" w:rsidRDefault="0066018F" w:rsidP="0066018F">
      <w:pPr>
        <w:rPr>
          <w:rFonts w:ascii="Tahoma" w:hAnsi="Tahoma" w:cs="Tahoma"/>
          <w:i/>
          <w:sz w:val="20"/>
          <w:szCs w:val="20"/>
        </w:rPr>
      </w:pPr>
    </w:p>
    <w:p w:rsidR="0066018F" w:rsidRPr="00D63954" w:rsidRDefault="0066018F" w:rsidP="0066018F">
      <w:pPr>
        <w:widowControl w:val="0"/>
        <w:jc w:val="both"/>
        <w:rPr>
          <w:rFonts w:ascii="Arial Black" w:hAnsi="Arial Black"/>
          <w:bCs/>
          <w:i/>
          <w:sz w:val="18"/>
          <w:szCs w:val="20"/>
        </w:rPr>
      </w:pPr>
      <w:r w:rsidRPr="00D63954">
        <w:rPr>
          <w:rFonts w:ascii="Arial Black" w:hAnsi="Arial Black"/>
          <w:i/>
          <w:sz w:val="18"/>
          <w:szCs w:val="20"/>
        </w:rPr>
        <w:t xml:space="preserve">EL ESTUDIO ULTRASONOGRAFICO REALIZADO CON ECOGRAFO MARCA ESAOTE MODELO MyLAB </w:t>
      </w:r>
      <w:r>
        <w:rPr>
          <w:rFonts w:ascii="Arial Black" w:hAnsi="Arial Black"/>
          <w:i/>
          <w:sz w:val="18"/>
          <w:szCs w:val="20"/>
        </w:rPr>
        <w:t xml:space="preserve">60 </w:t>
      </w:r>
      <w:r w:rsidRPr="00D63954">
        <w:rPr>
          <w:rFonts w:ascii="Arial Black" w:hAnsi="Arial Black"/>
          <w:i/>
          <w:sz w:val="18"/>
          <w:szCs w:val="20"/>
        </w:rPr>
        <w:t xml:space="preserve">UTILIZANDO TRANSDUCTOR LINEAL DE ALTA FRECUENCIA DE </w:t>
      </w:r>
      <w:r>
        <w:rPr>
          <w:rFonts w:ascii="Arial Black" w:hAnsi="Arial Black"/>
          <w:i/>
          <w:sz w:val="18"/>
          <w:szCs w:val="20"/>
        </w:rPr>
        <w:t>4</w:t>
      </w:r>
      <w:r w:rsidRPr="00D63954">
        <w:rPr>
          <w:rFonts w:ascii="Arial Black" w:hAnsi="Arial Black"/>
          <w:i/>
          <w:sz w:val="18"/>
          <w:szCs w:val="20"/>
        </w:rPr>
        <w:t>.</w:t>
      </w:r>
      <w:r>
        <w:rPr>
          <w:rFonts w:ascii="Arial Black" w:hAnsi="Arial Black"/>
          <w:i/>
          <w:sz w:val="18"/>
          <w:szCs w:val="20"/>
        </w:rPr>
        <w:t>0</w:t>
      </w:r>
      <w:r w:rsidRPr="00D63954">
        <w:rPr>
          <w:rFonts w:ascii="Arial Black" w:hAnsi="Arial Black"/>
          <w:i/>
          <w:sz w:val="18"/>
          <w:szCs w:val="20"/>
        </w:rPr>
        <w:t xml:space="preserve"> – 1</w:t>
      </w:r>
      <w:r>
        <w:rPr>
          <w:rFonts w:ascii="Arial Black" w:hAnsi="Arial Black"/>
          <w:i/>
          <w:sz w:val="18"/>
          <w:szCs w:val="20"/>
        </w:rPr>
        <w:t>3</w:t>
      </w:r>
      <w:r w:rsidRPr="00D63954">
        <w:rPr>
          <w:rFonts w:ascii="Arial Black" w:hAnsi="Arial Black"/>
          <w:i/>
          <w:sz w:val="18"/>
          <w:szCs w:val="20"/>
        </w:rPr>
        <w:t xml:space="preserve">.0 MHz </w:t>
      </w:r>
      <w:r>
        <w:rPr>
          <w:rFonts w:ascii="Arial Black" w:hAnsi="Arial Black"/>
          <w:i/>
          <w:sz w:val="18"/>
          <w:szCs w:val="20"/>
        </w:rPr>
        <w:t xml:space="preserve">PARA LA VALORACION ECOGRAFIA </w:t>
      </w:r>
      <w:r w:rsidRPr="00D63954">
        <w:rPr>
          <w:rFonts w:ascii="Arial Black" w:hAnsi="Arial Black"/>
          <w:i/>
          <w:sz w:val="18"/>
          <w:szCs w:val="20"/>
        </w:rPr>
        <w:t xml:space="preserve">DE LA </w:t>
      </w:r>
      <w:r w:rsidRPr="00D63954">
        <w:rPr>
          <w:rFonts w:ascii="Arial Black" w:hAnsi="Arial Black"/>
          <w:bCs/>
          <w:i/>
          <w:sz w:val="18"/>
          <w:szCs w:val="20"/>
        </w:rPr>
        <w:t>REGION INGUINAL</w:t>
      </w:r>
      <w:r>
        <w:rPr>
          <w:rFonts w:ascii="Arial Black" w:hAnsi="Arial Black"/>
          <w:bCs/>
          <w:i/>
          <w:sz w:val="18"/>
          <w:szCs w:val="20"/>
        </w:rPr>
        <w:t xml:space="preserve"> FEMORAL BILATERAL, </w:t>
      </w:r>
      <w:r w:rsidRPr="00D63954">
        <w:rPr>
          <w:rFonts w:ascii="Arial Black" w:hAnsi="Arial Black"/>
          <w:bCs/>
          <w:i/>
          <w:sz w:val="18"/>
          <w:szCs w:val="20"/>
        </w:rPr>
        <w:t>MUESTRA</w:t>
      </w:r>
      <w:r>
        <w:rPr>
          <w:rFonts w:ascii="Arial Black" w:hAnsi="Arial Black"/>
          <w:bCs/>
          <w:i/>
          <w:sz w:val="18"/>
          <w:szCs w:val="20"/>
        </w:rPr>
        <w:t>N</w:t>
      </w:r>
      <w:r w:rsidRPr="00D63954">
        <w:rPr>
          <w:rFonts w:ascii="Arial Black" w:hAnsi="Arial Black"/>
          <w:bCs/>
          <w:i/>
          <w:sz w:val="18"/>
          <w:szCs w:val="20"/>
        </w:rPr>
        <w:t>:</w:t>
      </w:r>
    </w:p>
    <w:p w:rsidR="0066018F" w:rsidRPr="00D63954" w:rsidRDefault="0066018F" w:rsidP="0066018F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66018F" w:rsidRPr="00D63954" w:rsidRDefault="0066018F" w:rsidP="0066018F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D63954">
        <w:rPr>
          <w:rFonts w:ascii="Tahoma" w:hAnsi="Tahoma"/>
          <w:i/>
          <w:sz w:val="18"/>
          <w:szCs w:val="20"/>
        </w:rPr>
        <w:t xml:space="preserve">Al examen físico se delimitan aumento del volumen en la región </w:t>
      </w:r>
      <w:r>
        <w:rPr>
          <w:rFonts w:ascii="Tahoma" w:hAnsi="Tahoma"/>
          <w:i/>
          <w:sz w:val="18"/>
          <w:szCs w:val="20"/>
        </w:rPr>
        <w:t>inguino femoral derecha e inguinal izquierda en las maniobras de valsalva. N</w:t>
      </w:r>
      <w:r w:rsidRPr="00D63954">
        <w:rPr>
          <w:rFonts w:ascii="Tahoma" w:hAnsi="Tahoma"/>
          <w:i/>
          <w:sz w:val="18"/>
          <w:szCs w:val="20"/>
        </w:rPr>
        <w:t>o se observan cambios dérmicos y/o signos de flogosis</w:t>
      </w:r>
      <w:r>
        <w:rPr>
          <w:rFonts w:ascii="Tahoma" w:hAnsi="Tahoma"/>
          <w:i/>
          <w:sz w:val="18"/>
          <w:szCs w:val="20"/>
        </w:rPr>
        <w:t xml:space="preserve"> en cicatriz operatoria</w:t>
      </w:r>
      <w:r w:rsidRPr="00D63954">
        <w:rPr>
          <w:rFonts w:ascii="Tahoma" w:hAnsi="Tahoma"/>
          <w:i/>
          <w:sz w:val="18"/>
          <w:szCs w:val="20"/>
        </w:rPr>
        <w:t>.</w:t>
      </w:r>
    </w:p>
    <w:p w:rsidR="0066018F" w:rsidRPr="00D63954" w:rsidRDefault="0066018F" w:rsidP="0066018F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66018F" w:rsidRPr="00D63954" w:rsidRDefault="0066018F" w:rsidP="0066018F">
      <w:pPr>
        <w:widowControl w:val="0"/>
        <w:jc w:val="both"/>
        <w:rPr>
          <w:rFonts w:ascii="Tahoma" w:hAnsi="Tahoma"/>
          <w:b/>
          <w:i/>
          <w:sz w:val="18"/>
          <w:szCs w:val="20"/>
        </w:rPr>
      </w:pPr>
      <w:r w:rsidRPr="00D63954">
        <w:rPr>
          <w:rFonts w:ascii="Tahoma" w:hAnsi="Tahoma"/>
          <w:b/>
          <w:i/>
          <w:sz w:val="18"/>
          <w:szCs w:val="20"/>
        </w:rPr>
        <w:t>La valoración de la región inguin</w:t>
      </w:r>
      <w:r>
        <w:rPr>
          <w:rFonts w:ascii="Tahoma" w:hAnsi="Tahoma"/>
          <w:b/>
          <w:i/>
          <w:sz w:val="18"/>
          <w:szCs w:val="20"/>
        </w:rPr>
        <w:t xml:space="preserve">o – femoral </w:t>
      </w:r>
      <w:r w:rsidRPr="00D63954">
        <w:rPr>
          <w:rFonts w:ascii="Tahoma" w:hAnsi="Tahoma"/>
          <w:b/>
          <w:i/>
          <w:sz w:val="18"/>
          <w:szCs w:val="20"/>
        </w:rPr>
        <w:t>derecha evidencia:</w:t>
      </w:r>
    </w:p>
    <w:p w:rsidR="0066018F" w:rsidRPr="00D63954" w:rsidRDefault="0066018F" w:rsidP="0066018F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66018F" w:rsidRDefault="0066018F" w:rsidP="0066018F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Se objetiva material quirurgico por debajo de la cicatriz operatoria el cual no evidencia disrupcion de la pared abdominal en las diferentes maniobras ecograficas y de valsalva.</w:t>
      </w:r>
    </w:p>
    <w:p w:rsidR="0066018F" w:rsidRDefault="0066018F" w:rsidP="0066018F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:rsidR="0066018F" w:rsidRDefault="0066018F" w:rsidP="0066018F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Hacia el territorio femoral, por encima de los vasos femoral se objetiva d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isrupción de pared abdominal </w:t>
      </w:r>
      <w:r>
        <w:rPr>
          <w:rFonts w:ascii="Tahoma" w:hAnsi="Tahoma" w:cs="Tahoma"/>
          <w:i/>
          <w:noProof/>
          <w:sz w:val="18"/>
          <w:szCs w:val="20"/>
        </w:rPr>
        <w:t xml:space="preserve">el cual tiene 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una separación de </w:t>
      </w:r>
      <w:r>
        <w:rPr>
          <w:rFonts w:ascii="Tahoma" w:hAnsi="Tahoma" w:cs="Tahoma"/>
          <w:i/>
          <w:noProof/>
          <w:sz w:val="18"/>
          <w:szCs w:val="20"/>
        </w:rPr>
        <w:t>7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mm., en reposo y </w:t>
      </w:r>
      <w:r>
        <w:rPr>
          <w:rFonts w:ascii="Tahoma" w:hAnsi="Tahoma" w:cs="Tahoma"/>
          <w:i/>
          <w:noProof/>
          <w:sz w:val="18"/>
          <w:szCs w:val="20"/>
        </w:rPr>
        <w:t xml:space="preserve">16.7mm., en 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valsalva por el cual protuye grasa peritoneal </w:t>
      </w:r>
      <w:r>
        <w:rPr>
          <w:rFonts w:ascii="Tahoma" w:hAnsi="Tahoma" w:cs="Tahoma"/>
          <w:i/>
          <w:noProof/>
          <w:sz w:val="18"/>
          <w:szCs w:val="20"/>
        </w:rPr>
        <w:t xml:space="preserve">y asas intestinales 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hacia el TCGS adoptando morfologia sacular cuyo diametro es de </w:t>
      </w:r>
      <w:r>
        <w:rPr>
          <w:rFonts w:ascii="Tahoma" w:hAnsi="Tahoma" w:cs="Tahoma"/>
          <w:i/>
          <w:noProof/>
          <w:sz w:val="18"/>
          <w:szCs w:val="20"/>
        </w:rPr>
        <w:t>52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 x </w:t>
      </w:r>
      <w:r>
        <w:rPr>
          <w:rFonts w:ascii="Tahoma" w:hAnsi="Tahoma" w:cs="Tahoma"/>
          <w:i/>
          <w:noProof/>
          <w:sz w:val="18"/>
          <w:szCs w:val="20"/>
        </w:rPr>
        <w:t>13</w:t>
      </w:r>
      <w:r w:rsidRPr="00D63954">
        <w:rPr>
          <w:rFonts w:ascii="Tahoma" w:hAnsi="Tahoma" w:cs="Tahoma"/>
          <w:i/>
          <w:noProof/>
          <w:sz w:val="18"/>
          <w:szCs w:val="20"/>
        </w:rPr>
        <w:t>mm., dicho contenido es reducible en la maniobra de eco presión</w:t>
      </w:r>
      <w:r>
        <w:rPr>
          <w:rFonts w:ascii="Tahoma" w:hAnsi="Tahoma" w:cs="Tahoma"/>
          <w:i/>
          <w:noProof/>
          <w:sz w:val="18"/>
          <w:szCs w:val="20"/>
        </w:rPr>
        <w:t xml:space="preserve"> solo de las asas intestinales, la grasa peritoneal no es reducible en la manibora de eco presión. </w:t>
      </w:r>
    </w:p>
    <w:p w:rsidR="0066018F" w:rsidRPr="00D63954" w:rsidRDefault="0066018F" w:rsidP="0066018F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:rsidR="0066018F" w:rsidRPr="00D63954" w:rsidRDefault="0066018F" w:rsidP="0066018F">
      <w:pPr>
        <w:widowControl w:val="0"/>
        <w:jc w:val="both"/>
        <w:rPr>
          <w:rFonts w:ascii="Tahoma" w:hAnsi="Tahoma"/>
          <w:b/>
          <w:i/>
          <w:sz w:val="18"/>
          <w:szCs w:val="20"/>
        </w:rPr>
      </w:pPr>
      <w:r w:rsidRPr="00D63954">
        <w:rPr>
          <w:rFonts w:ascii="Tahoma" w:hAnsi="Tahoma"/>
          <w:b/>
          <w:i/>
          <w:sz w:val="18"/>
          <w:szCs w:val="20"/>
        </w:rPr>
        <w:t>La valoración de la región inguin</w:t>
      </w:r>
      <w:r>
        <w:rPr>
          <w:rFonts w:ascii="Tahoma" w:hAnsi="Tahoma"/>
          <w:b/>
          <w:i/>
          <w:sz w:val="18"/>
          <w:szCs w:val="20"/>
        </w:rPr>
        <w:t xml:space="preserve">o – femoral izquierda </w:t>
      </w:r>
      <w:r w:rsidRPr="00D63954">
        <w:rPr>
          <w:rFonts w:ascii="Tahoma" w:hAnsi="Tahoma"/>
          <w:b/>
          <w:i/>
          <w:sz w:val="18"/>
          <w:szCs w:val="20"/>
        </w:rPr>
        <w:t>evidencia:</w:t>
      </w:r>
    </w:p>
    <w:p w:rsidR="0066018F" w:rsidRPr="00D63954" w:rsidRDefault="0066018F" w:rsidP="0066018F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66018F" w:rsidRPr="00D63954" w:rsidRDefault="0066018F" w:rsidP="0066018F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Se d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isrupción de pared abdominal </w:t>
      </w:r>
      <w:r>
        <w:rPr>
          <w:rFonts w:ascii="Tahoma" w:hAnsi="Tahoma" w:cs="Tahoma"/>
          <w:i/>
          <w:noProof/>
          <w:sz w:val="18"/>
          <w:szCs w:val="20"/>
        </w:rPr>
        <w:t xml:space="preserve">por debajo de los vasos epigastricos el cual 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tiene una separación de </w:t>
      </w:r>
      <w:r>
        <w:rPr>
          <w:rFonts w:ascii="Tahoma" w:hAnsi="Tahoma" w:cs="Tahoma"/>
          <w:i/>
          <w:noProof/>
          <w:sz w:val="18"/>
          <w:szCs w:val="20"/>
        </w:rPr>
        <w:t>2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mm., en reposo y </w:t>
      </w:r>
      <w:r>
        <w:rPr>
          <w:rFonts w:ascii="Tahoma" w:hAnsi="Tahoma" w:cs="Tahoma"/>
          <w:i/>
          <w:noProof/>
          <w:sz w:val="18"/>
          <w:szCs w:val="20"/>
        </w:rPr>
        <w:t xml:space="preserve">12mm., en 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maniobra de valsalva por el cual protuye grasa peritoneal hacia el TCGS adoptando morfologia sacular cuyo diametro es de </w:t>
      </w:r>
      <w:r>
        <w:rPr>
          <w:rFonts w:ascii="Tahoma" w:hAnsi="Tahoma" w:cs="Tahoma"/>
          <w:i/>
          <w:noProof/>
          <w:sz w:val="18"/>
          <w:szCs w:val="20"/>
        </w:rPr>
        <w:t>26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 x 10mm., dicho contenido no es reducible en la maniobra de eco presión.</w:t>
      </w:r>
    </w:p>
    <w:p w:rsidR="0066018F" w:rsidRPr="00D63954" w:rsidRDefault="0066018F" w:rsidP="0066018F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:rsidR="0066018F" w:rsidRDefault="0066018F" w:rsidP="0066018F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Asimism se objetiva hacia el territorio femoral, por encima de los vasos femoral d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isrupción de pared abdominal </w:t>
      </w:r>
      <w:r>
        <w:rPr>
          <w:rFonts w:ascii="Tahoma" w:hAnsi="Tahoma" w:cs="Tahoma"/>
          <w:i/>
          <w:noProof/>
          <w:sz w:val="18"/>
          <w:szCs w:val="20"/>
        </w:rPr>
        <w:t xml:space="preserve">el cual tiene 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una separación de </w:t>
      </w:r>
      <w:r>
        <w:rPr>
          <w:rFonts w:ascii="Tahoma" w:hAnsi="Tahoma" w:cs="Tahoma"/>
          <w:i/>
          <w:noProof/>
          <w:sz w:val="18"/>
          <w:szCs w:val="20"/>
        </w:rPr>
        <w:t>5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mm., </w:t>
      </w:r>
      <w:r>
        <w:rPr>
          <w:rFonts w:ascii="Tahoma" w:hAnsi="Tahoma" w:cs="Tahoma"/>
          <w:i/>
          <w:noProof/>
          <w:sz w:val="18"/>
          <w:szCs w:val="20"/>
        </w:rPr>
        <w:t xml:space="preserve">tanto 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en reposo </w:t>
      </w:r>
      <w:r>
        <w:rPr>
          <w:rFonts w:ascii="Tahoma" w:hAnsi="Tahoma" w:cs="Tahoma"/>
          <w:i/>
          <w:noProof/>
          <w:sz w:val="18"/>
          <w:szCs w:val="20"/>
        </w:rPr>
        <w:t xml:space="preserve">como en 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valsalva por el cual protuye grasa peritoneal hacia el TCGS adoptando morfologia sacular cuyo diametro aproximado es de </w:t>
      </w:r>
      <w:r>
        <w:rPr>
          <w:rFonts w:ascii="Tahoma" w:hAnsi="Tahoma" w:cs="Tahoma"/>
          <w:i/>
          <w:noProof/>
          <w:sz w:val="18"/>
          <w:szCs w:val="20"/>
        </w:rPr>
        <w:t>30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 x </w:t>
      </w:r>
      <w:r>
        <w:rPr>
          <w:rFonts w:ascii="Tahoma" w:hAnsi="Tahoma" w:cs="Tahoma"/>
          <w:i/>
          <w:noProof/>
          <w:sz w:val="18"/>
          <w:szCs w:val="20"/>
        </w:rPr>
        <w:t>08</w:t>
      </w:r>
      <w:r w:rsidRPr="00D63954">
        <w:rPr>
          <w:rFonts w:ascii="Tahoma" w:hAnsi="Tahoma" w:cs="Tahoma"/>
          <w:i/>
          <w:noProof/>
          <w:sz w:val="18"/>
          <w:szCs w:val="20"/>
        </w:rPr>
        <w:t xml:space="preserve">mm., dicho contenido </w:t>
      </w:r>
      <w:r>
        <w:rPr>
          <w:rFonts w:ascii="Tahoma" w:hAnsi="Tahoma" w:cs="Tahoma"/>
          <w:i/>
          <w:noProof/>
          <w:sz w:val="18"/>
          <w:szCs w:val="20"/>
        </w:rPr>
        <w:t xml:space="preserve">no </w:t>
      </w:r>
      <w:r w:rsidRPr="00D63954">
        <w:rPr>
          <w:rFonts w:ascii="Tahoma" w:hAnsi="Tahoma" w:cs="Tahoma"/>
          <w:i/>
          <w:noProof/>
          <w:sz w:val="18"/>
          <w:szCs w:val="20"/>
        </w:rPr>
        <w:t>es reducible en la maniobra de eco presión</w:t>
      </w:r>
      <w:r>
        <w:rPr>
          <w:rFonts w:ascii="Tahoma" w:hAnsi="Tahoma" w:cs="Tahoma"/>
          <w:i/>
          <w:noProof/>
          <w:sz w:val="18"/>
          <w:szCs w:val="20"/>
        </w:rPr>
        <w:t>.</w:t>
      </w:r>
    </w:p>
    <w:p w:rsidR="0066018F" w:rsidRPr="00D63954" w:rsidRDefault="0066018F" w:rsidP="0066018F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:rsidR="0066018F" w:rsidRPr="00DC67E7" w:rsidRDefault="0066018F" w:rsidP="0066018F">
      <w:pPr>
        <w:widowControl w:val="0"/>
        <w:jc w:val="both"/>
        <w:rPr>
          <w:rFonts w:ascii="Arial Black" w:hAnsi="Arial Black"/>
          <w:bCs/>
          <w:i/>
          <w:sz w:val="18"/>
          <w:szCs w:val="20"/>
          <w:u w:val="single"/>
        </w:rPr>
      </w:pPr>
      <w:r w:rsidRPr="00DC67E7">
        <w:rPr>
          <w:rFonts w:ascii="Arial Black" w:hAnsi="Arial Black"/>
          <w:bCs/>
          <w:i/>
          <w:sz w:val="18"/>
          <w:szCs w:val="20"/>
          <w:u w:val="single"/>
        </w:rPr>
        <w:t>HALLAZGOS ECOGRAFICOS:</w:t>
      </w:r>
    </w:p>
    <w:p w:rsidR="0066018F" w:rsidRPr="00D63954" w:rsidRDefault="0066018F" w:rsidP="0066018F">
      <w:pPr>
        <w:widowControl w:val="0"/>
        <w:jc w:val="both"/>
        <w:rPr>
          <w:rFonts w:ascii="Arial" w:hAnsi="Arial"/>
          <w:i/>
          <w:sz w:val="18"/>
          <w:szCs w:val="20"/>
        </w:rPr>
      </w:pPr>
    </w:p>
    <w:p w:rsidR="0066018F" w:rsidRDefault="0066018F" w:rsidP="0066018F">
      <w:pPr>
        <w:widowControl w:val="0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CICATRIZ OPERATORIA EN REGION INGUINAL DERECHA ECOGRAFICAMENTE CONSERVADA.</w:t>
      </w:r>
    </w:p>
    <w:p w:rsidR="0066018F" w:rsidRDefault="0066018F" w:rsidP="0066018F">
      <w:pPr>
        <w:widowControl w:val="0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HERNIA FEMORAL DERECHA NO REDUCIBLE.</w:t>
      </w:r>
    </w:p>
    <w:p w:rsidR="0066018F" w:rsidRDefault="0066018F" w:rsidP="0066018F">
      <w:pPr>
        <w:widowControl w:val="0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HERNIA INGUINAL (DIRECTA) IZQUIERDA REDUCIBLE.</w:t>
      </w:r>
    </w:p>
    <w:p w:rsidR="0066018F" w:rsidRDefault="0066018F" w:rsidP="0066018F">
      <w:pPr>
        <w:widowControl w:val="0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HERNIA FEMORAL IZQUIERDA NO REDUCIBLE.</w:t>
      </w:r>
    </w:p>
    <w:p w:rsidR="0066018F" w:rsidRPr="00D63954" w:rsidRDefault="0066018F" w:rsidP="0066018F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:rsidR="0066018F" w:rsidRPr="00D63954" w:rsidRDefault="0066018F" w:rsidP="0066018F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D63954">
        <w:rPr>
          <w:rFonts w:ascii="Tahoma" w:hAnsi="Tahoma" w:cs="Tahoma"/>
          <w:i/>
          <w:noProof/>
          <w:sz w:val="18"/>
          <w:szCs w:val="20"/>
        </w:rPr>
        <w:t>S/S CORRELACIONAR CON HALLAZGOS CLINICOS.</w:t>
      </w:r>
    </w:p>
    <w:p w:rsidR="0066018F" w:rsidRPr="00D63954" w:rsidRDefault="0066018F" w:rsidP="0066018F">
      <w:pPr>
        <w:widowControl w:val="0"/>
        <w:jc w:val="both"/>
        <w:rPr>
          <w:rFonts w:ascii="Arial" w:hAnsi="Arial"/>
          <w:i/>
          <w:sz w:val="18"/>
          <w:szCs w:val="20"/>
        </w:rPr>
      </w:pPr>
    </w:p>
    <w:p w:rsidR="0066018F" w:rsidRPr="00D63954" w:rsidRDefault="0066018F" w:rsidP="0066018F">
      <w:pPr>
        <w:widowControl w:val="0"/>
        <w:rPr>
          <w:rFonts w:ascii="Tahoma" w:hAnsi="Tahoma" w:cs="Tahoma"/>
          <w:i/>
          <w:noProof/>
          <w:sz w:val="18"/>
          <w:szCs w:val="20"/>
        </w:rPr>
      </w:pPr>
      <w:r w:rsidRPr="00D63954">
        <w:rPr>
          <w:rFonts w:ascii="Tahoma" w:hAnsi="Tahoma" w:cs="Tahoma"/>
          <w:i/>
          <w:noProof/>
          <w:sz w:val="18"/>
          <w:szCs w:val="20"/>
        </w:rPr>
        <w:t>Atentamente,</w:t>
      </w:r>
    </w:p>
    <w:p w:rsidR="0066018F" w:rsidRPr="00D63954" w:rsidRDefault="0066018F" w:rsidP="0066018F">
      <w:pPr>
        <w:widowControl w:val="0"/>
        <w:rPr>
          <w:rFonts w:ascii="Tahoma" w:hAnsi="Tahoma"/>
          <w:i/>
          <w:sz w:val="18"/>
          <w:szCs w:val="18"/>
        </w:rPr>
      </w:pPr>
    </w:p>
    <w:p w:rsidR="00D904FE" w:rsidRPr="0066018F" w:rsidRDefault="00D904FE" w:rsidP="0066018F"/>
    <w:sectPr w:rsidR="00D904FE" w:rsidRPr="0066018F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26AE1"/>
    <w:multiLevelType w:val="hybridMultilevel"/>
    <w:tmpl w:val="2810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18F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51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3CC8B85-0FFC-40D9-B37B-D0162489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66018F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5</cp:revision>
  <cp:lastPrinted>2004-12-28T16:27:00Z</cp:lastPrinted>
  <dcterms:created xsi:type="dcterms:W3CDTF">2016-02-10T16:41:00Z</dcterms:created>
  <dcterms:modified xsi:type="dcterms:W3CDTF">2019-03-20T16:18:00Z</dcterms:modified>
</cp:coreProperties>
</file>