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A6" w:rsidRDefault="002B5FA6" w:rsidP="002B5FA6">
      <w:pPr>
        <w:pStyle w:val="Puesto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2B5FA6" w:rsidRDefault="002B5FA6" w:rsidP="002B5FA6">
      <w:pPr>
        <w:rPr>
          <w:rFonts w:ascii="Tahoma" w:hAnsi="Tahoma" w:cs="Tahoma"/>
          <w:b/>
          <w:bCs/>
          <w:sz w:val="20"/>
          <w:szCs w:val="20"/>
        </w:rPr>
      </w:pPr>
    </w:p>
    <w:p w:rsidR="002B5FA6" w:rsidRDefault="002B5FA6" w:rsidP="002B5FA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HUARZA CUSINGA MARELYN BEATRIZ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B5FA6" w:rsidRDefault="002B5FA6" w:rsidP="002B5FA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B5FA6" w:rsidRDefault="002B5FA6" w:rsidP="002B5FA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B5FA6" w:rsidRDefault="002B5FA6" w:rsidP="002B5FA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26/03/2019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B5FA6" w:rsidRDefault="002B5FA6" w:rsidP="002B5FA6">
      <w:pPr>
        <w:ind w:firstLine="708"/>
        <w:rPr>
          <w:rFonts w:ascii="Tahoma" w:hAnsi="Tahoma" w:cs="Tahoma"/>
          <w:sz w:val="20"/>
          <w:szCs w:val="20"/>
        </w:rPr>
      </w:pPr>
    </w:p>
    <w:p w:rsidR="002B5FA6" w:rsidRDefault="002B5FA6" w:rsidP="002B5FA6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 xml:space="preserve">ESAOTE </w:t>
      </w:r>
      <w:r>
        <w:rPr>
          <w:rFonts w:ascii="Tahoma" w:hAnsi="Tahoma" w:cs="Tahoma"/>
          <w:noProof/>
          <w:sz w:val="20"/>
          <w:szCs w:val="20"/>
        </w:rPr>
        <w:t xml:space="preserve">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METODO 2D BN EN TIEMPO REAL UTILIZANDO TRANSDUCTOR VOLUMETRICO MULTIFRECUENCIAL, MUESTRA:</w:t>
      </w:r>
    </w:p>
    <w:p w:rsidR="002B5FA6" w:rsidRDefault="002B5FA6" w:rsidP="002B5FA6">
      <w:pPr>
        <w:rPr>
          <w:rFonts w:ascii="Tahoma" w:hAnsi="Tahoma" w:cs="Tahoma"/>
          <w:sz w:val="20"/>
          <w:szCs w:val="20"/>
        </w:rPr>
      </w:pPr>
    </w:p>
    <w:p w:rsidR="002B5FA6" w:rsidRDefault="002B5FA6" w:rsidP="002B5FA6">
      <w:pPr>
        <w:pStyle w:val="Textoindependiente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  <w:u w:val="single"/>
        </w:rPr>
        <w:t>UTERO</w:t>
      </w:r>
      <w:r>
        <w:rPr>
          <w:rFonts w:ascii="Tahoma" w:hAnsi="Tahoma" w:cs="Tahoma"/>
          <w:b/>
          <w:bCs/>
          <w:szCs w:val="20"/>
        </w:rPr>
        <w:t xml:space="preserve">: </w:t>
      </w:r>
    </w:p>
    <w:p w:rsidR="002B5FA6" w:rsidRDefault="002B5FA6" w:rsidP="002B5FA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Central, aumentado de tamaño y forma globulosa por su estado grávido. Sus contornos son regulares, paredes lisas y la ecogenicidad parenquimal homogénea.</w:t>
      </w:r>
    </w:p>
    <w:p w:rsidR="002B5FA6" w:rsidRDefault="002B5FA6" w:rsidP="002B5FA6">
      <w:pPr>
        <w:pStyle w:val="Textoindependiente"/>
        <w:rPr>
          <w:rFonts w:ascii="Tahoma" w:hAnsi="Tahoma" w:cs="Tahoma"/>
          <w:szCs w:val="20"/>
        </w:rPr>
      </w:pPr>
    </w:p>
    <w:p w:rsidR="002B5FA6" w:rsidRDefault="002B5FA6" w:rsidP="002B5FA6">
      <w:pPr>
        <w:pStyle w:val="Textoindependiente"/>
        <w:rPr>
          <w:rFonts w:ascii="Tahoma" w:hAnsi="Tahoma" w:cs="Tahoma"/>
          <w:b/>
          <w:szCs w:val="20"/>
        </w:rPr>
      </w:pPr>
      <w:r>
        <w:rPr>
          <w:rFonts w:ascii="Tahoma" w:hAnsi="Tahoma" w:cs="Tahoma"/>
          <w:b/>
          <w:szCs w:val="20"/>
          <w:u w:val="single"/>
        </w:rPr>
        <w:t>CAVIDAD UTERINA</w:t>
      </w:r>
      <w:r>
        <w:rPr>
          <w:rFonts w:ascii="Tahoma" w:hAnsi="Tahoma" w:cs="Tahoma"/>
          <w:b/>
          <w:szCs w:val="20"/>
        </w:rPr>
        <w:t xml:space="preserve">: </w:t>
      </w:r>
    </w:p>
    <w:p w:rsidR="002B5FA6" w:rsidRDefault="002B5FA6" w:rsidP="002B5FA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Ocupada por saco gestacional adecuadamente implantado y de contornos regulares. En su interior se aprecia un Feto de morfología conservada, con presencia de actividad cardiaca registrado mediante Doppler pulsado y continuo en Modo Dupplex (FCF: 152 lpm) y de movimientos corporales espontáneos presentes.</w:t>
      </w:r>
    </w:p>
    <w:p w:rsidR="002B5FA6" w:rsidRDefault="002B5FA6" w:rsidP="002B5FA6">
      <w:pPr>
        <w:pStyle w:val="Textoindependiente"/>
        <w:rPr>
          <w:rFonts w:ascii="Tahoma" w:hAnsi="Tahoma" w:cs="Tahoma"/>
          <w:szCs w:val="20"/>
        </w:rPr>
      </w:pPr>
    </w:p>
    <w:p w:rsidR="002B5FA6" w:rsidRDefault="002B5FA6" w:rsidP="002B5FA6">
      <w:pPr>
        <w:pStyle w:val="Textoindependiente"/>
        <w:rPr>
          <w:rFonts w:ascii="Tahoma" w:hAnsi="Tahoma" w:cs="Tahoma"/>
          <w:b/>
          <w:szCs w:val="20"/>
          <w:lang w:val="pt-BR"/>
        </w:rPr>
      </w:pPr>
      <w:r>
        <w:rPr>
          <w:rFonts w:ascii="Tahoma" w:hAnsi="Tahoma" w:cs="Tahoma"/>
          <w:b/>
          <w:szCs w:val="20"/>
          <w:u w:val="single"/>
          <w:lang w:val="pt-BR"/>
        </w:rPr>
        <w:t>BIOMETRIA FETAL</w:t>
      </w:r>
      <w:r>
        <w:rPr>
          <w:rFonts w:ascii="Tahoma" w:hAnsi="Tahoma" w:cs="Tahoma"/>
          <w:b/>
          <w:szCs w:val="20"/>
          <w:lang w:val="pt-BR"/>
        </w:rPr>
        <w:t>:</w:t>
      </w:r>
    </w:p>
    <w:p w:rsidR="002B5FA6" w:rsidRDefault="002B5FA6" w:rsidP="002B5FA6">
      <w:pPr>
        <w:pStyle w:val="Textoindependiente"/>
        <w:rPr>
          <w:rFonts w:ascii="Tahoma" w:hAnsi="Tahoma" w:cs="Tahoma"/>
          <w:szCs w:val="20"/>
          <w:lang w:val="pt-BR"/>
        </w:rPr>
      </w:pPr>
      <w:proofErr w:type="spellStart"/>
      <w:r>
        <w:rPr>
          <w:rFonts w:ascii="Tahoma" w:hAnsi="Tahoma" w:cs="Tahoma"/>
          <w:szCs w:val="20"/>
          <w:lang w:val="pt-BR"/>
        </w:rPr>
        <w:t>Longitud</w:t>
      </w:r>
      <w:proofErr w:type="spellEnd"/>
      <w:r>
        <w:rPr>
          <w:rFonts w:ascii="Tahoma" w:hAnsi="Tahoma" w:cs="Tahoma"/>
          <w:szCs w:val="20"/>
          <w:lang w:val="pt-BR"/>
        </w:rPr>
        <w:t xml:space="preserve"> </w:t>
      </w:r>
      <w:proofErr w:type="spellStart"/>
      <w:r>
        <w:rPr>
          <w:rFonts w:ascii="Tahoma" w:hAnsi="Tahoma" w:cs="Tahoma"/>
          <w:szCs w:val="20"/>
          <w:lang w:val="pt-BR"/>
        </w:rPr>
        <w:t>cráneo</w:t>
      </w:r>
      <w:proofErr w:type="spellEnd"/>
      <w:r>
        <w:rPr>
          <w:rFonts w:ascii="Tahoma" w:hAnsi="Tahoma" w:cs="Tahoma"/>
          <w:szCs w:val="20"/>
          <w:lang w:val="pt-BR"/>
        </w:rPr>
        <w:t xml:space="preserve"> – caudal</w:t>
      </w:r>
      <w:r>
        <w:rPr>
          <w:rFonts w:ascii="Tahoma" w:hAnsi="Tahoma" w:cs="Tahoma"/>
          <w:szCs w:val="20"/>
          <w:lang w:val="pt-BR"/>
        </w:rPr>
        <w:tab/>
      </w:r>
      <w:proofErr w:type="gramStart"/>
      <w:r>
        <w:rPr>
          <w:rFonts w:ascii="Tahoma" w:hAnsi="Tahoma" w:cs="Tahoma"/>
          <w:szCs w:val="20"/>
          <w:lang w:val="pt-BR"/>
        </w:rPr>
        <w:tab/>
        <w:t>:</w:t>
      </w:r>
      <w:r>
        <w:rPr>
          <w:rFonts w:ascii="Tahoma" w:hAnsi="Tahoma" w:cs="Tahoma"/>
          <w:szCs w:val="20"/>
          <w:lang w:val="pt-BR"/>
        </w:rPr>
        <w:tab/>
      </w:r>
      <w:proofErr w:type="gramEnd"/>
      <w:r>
        <w:rPr>
          <w:rFonts w:ascii="Tahoma" w:hAnsi="Tahoma" w:cs="Tahoma"/>
          <w:szCs w:val="20"/>
          <w:lang w:val="pt-BR"/>
        </w:rPr>
        <w:t>74mm.</w:t>
      </w:r>
    </w:p>
    <w:p w:rsidR="002B5FA6" w:rsidRDefault="002B5FA6" w:rsidP="002B5FA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Diámetro </w:t>
      </w:r>
      <w:proofErr w:type="spellStart"/>
      <w:r>
        <w:rPr>
          <w:rFonts w:ascii="Tahoma" w:hAnsi="Tahoma" w:cs="Tahoma"/>
          <w:szCs w:val="20"/>
        </w:rPr>
        <w:t>biparietal</w:t>
      </w:r>
      <w:proofErr w:type="spellEnd"/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  <w:t>:</w:t>
      </w:r>
      <w:r>
        <w:rPr>
          <w:rFonts w:ascii="Tahoma" w:hAnsi="Tahoma" w:cs="Tahoma"/>
          <w:szCs w:val="20"/>
        </w:rPr>
        <w:tab/>
        <w:t>22mm.</w:t>
      </w:r>
    </w:p>
    <w:p w:rsidR="002B5FA6" w:rsidRDefault="002B5FA6" w:rsidP="002B5FA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Longitud de Fémur</w:t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  <w:t>:          10mm.</w:t>
      </w:r>
    </w:p>
    <w:p w:rsidR="002B5FA6" w:rsidRDefault="002B5FA6" w:rsidP="002B5FA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 </w:t>
      </w:r>
    </w:p>
    <w:p w:rsidR="002B5FA6" w:rsidRDefault="002B5FA6" w:rsidP="002B5FA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Placenta ubicada en la pared anterior.</w:t>
      </w:r>
    </w:p>
    <w:p w:rsidR="002B5FA6" w:rsidRDefault="002B5FA6" w:rsidP="002B5FA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Líquido amniótico normal para la edad gestacional </w:t>
      </w:r>
    </w:p>
    <w:p w:rsidR="002B5FA6" w:rsidRDefault="002B5FA6" w:rsidP="002B5FA6">
      <w:pPr>
        <w:pStyle w:val="Textoindependiente"/>
        <w:rPr>
          <w:rFonts w:ascii="Tahoma" w:hAnsi="Tahoma" w:cs="Tahoma"/>
          <w:szCs w:val="20"/>
        </w:rPr>
      </w:pPr>
    </w:p>
    <w:p w:rsidR="002B5FA6" w:rsidRDefault="002B5FA6" w:rsidP="002B5FA6">
      <w:pPr>
        <w:pStyle w:val="Textoindependiente"/>
        <w:rPr>
          <w:rFonts w:ascii="Tahoma" w:hAnsi="Tahoma" w:cs="Tahoma"/>
          <w:b/>
          <w:szCs w:val="20"/>
        </w:rPr>
      </w:pPr>
      <w:r>
        <w:rPr>
          <w:rFonts w:ascii="Tahoma" w:hAnsi="Tahoma" w:cs="Tahoma"/>
          <w:b/>
          <w:szCs w:val="20"/>
          <w:u w:val="single"/>
        </w:rPr>
        <w:t>CUELLO UTERINO</w:t>
      </w:r>
      <w:r>
        <w:rPr>
          <w:rFonts w:ascii="Tahoma" w:hAnsi="Tahoma" w:cs="Tahoma"/>
          <w:b/>
          <w:szCs w:val="20"/>
        </w:rPr>
        <w:t>:</w:t>
      </w:r>
    </w:p>
    <w:p w:rsidR="002B5FA6" w:rsidRDefault="002B5FA6" w:rsidP="002B5FA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Muestra ecotextura homogénea.</w:t>
      </w:r>
    </w:p>
    <w:p w:rsidR="002B5FA6" w:rsidRDefault="002B5FA6" w:rsidP="002B5FA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No se evidencian lesiones focales sólidas ni quísticas.</w:t>
      </w:r>
    </w:p>
    <w:p w:rsidR="002B5FA6" w:rsidRDefault="002B5FA6" w:rsidP="002B5FA6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OCI cerrado.</w:t>
      </w:r>
    </w:p>
    <w:p w:rsidR="002B5FA6" w:rsidRDefault="002B5FA6" w:rsidP="002B5FA6">
      <w:pPr>
        <w:rPr>
          <w:rFonts w:ascii="Tahoma" w:hAnsi="Tahoma" w:cs="Tahoma"/>
          <w:bCs/>
          <w:sz w:val="20"/>
          <w:szCs w:val="20"/>
        </w:rPr>
      </w:pPr>
    </w:p>
    <w:p w:rsidR="002B5FA6" w:rsidRDefault="002B5FA6" w:rsidP="002B5FA6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ANEXO DERECHO</w:t>
      </w:r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2B5FA6" w:rsidRDefault="002B5FA6" w:rsidP="002B5FA6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Ovario de dimensiones conservadas. No se evidencia imágenes sólidas ni quísticas.</w:t>
      </w:r>
    </w:p>
    <w:p w:rsidR="002B5FA6" w:rsidRDefault="002B5FA6" w:rsidP="002B5FA6">
      <w:pPr>
        <w:rPr>
          <w:rFonts w:ascii="Tahoma" w:hAnsi="Tahoma" w:cs="Tahoma"/>
          <w:bCs/>
          <w:sz w:val="20"/>
          <w:szCs w:val="20"/>
        </w:rPr>
      </w:pPr>
    </w:p>
    <w:p w:rsidR="002B5FA6" w:rsidRDefault="002B5FA6" w:rsidP="002B5FA6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ANEXO IZQUIERDO</w:t>
      </w:r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2B5FA6" w:rsidRDefault="002B5FA6" w:rsidP="002B5FA6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Ovario de dimensiones conservadas. No se evidencia imágenes sólidas ni quísticas.</w:t>
      </w:r>
    </w:p>
    <w:p w:rsidR="002B5FA6" w:rsidRDefault="002B5FA6" w:rsidP="002B5FA6">
      <w:pPr>
        <w:rPr>
          <w:rFonts w:ascii="Tahoma" w:hAnsi="Tahoma" w:cs="Tahoma"/>
          <w:b/>
          <w:bCs/>
          <w:sz w:val="20"/>
          <w:szCs w:val="20"/>
        </w:rPr>
      </w:pPr>
    </w:p>
    <w:p w:rsidR="002B5FA6" w:rsidRDefault="002B5FA6" w:rsidP="002B5FA6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FONDO DE SACO DE DOUGLAS</w:t>
      </w:r>
      <w:r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Cs/>
          <w:sz w:val="20"/>
          <w:szCs w:val="20"/>
        </w:rPr>
        <w:t>libres.</w:t>
      </w:r>
    </w:p>
    <w:p w:rsidR="002B5FA6" w:rsidRDefault="002B5FA6" w:rsidP="002B5FA6">
      <w:pPr>
        <w:rPr>
          <w:rFonts w:ascii="Tahoma" w:hAnsi="Tahoma" w:cs="Tahoma"/>
          <w:bCs/>
          <w:sz w:val="20"/>
          <w:szCs w:val="20"/>
        </w:rPr>
      </w:pPr>
    </w:p>
    <w:p w:rsidR="002B5FA6" w:rsidRDefault="002B5FA6" w:rsidP="002B5FA6">
      <w:pPr>
        <w:rPr>
          <w:rFonts w:ascii="Tahoma" w:hAnsi="Tahoma" w:cs="Tahoma"/>
          <w:b/>
          <w:bCs/>
          <w:sz w:val="20"/>
          <w:szCs w:val="20"/>
        </w:rPr>
      </w:pPr>
    </w:p>
    <w:p w:rsidR="002B5FA6" w:rsidRDefault="002B5FA6" w:rsidP="002B5FA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HALLAZGOS ECOGRAFICOS EN RELACION A</w:t>
      </w:r>
      <w:r>
        <w:rPr>
          <w:rFonts w:ascii="Tahoma" w:hAnsi="Tahoma" w:cs="Tahoma"/>
          <w:b/>
          <w:bCs/>
          <w:sz w:val="20"/>
          <w:szCs w:val="20"/>
        </w:rPr>
        <w:t>:</w:t>
      </w:r>
    </w:p>
    <w:p w:rsidR="002B5FA6" w:rsidRDefault="002B5FA6" w:rsidP="002B5FA6">
      <w:pPr>
        <w:jc w:val="both"/>
        <w:rPr>
          <w:rFonts w:ascii="Tahoma" w:hAnsi="Tahoma" w:cs="Tahoma"/>
          <w:sz w:val="20"/>
          <w:szCs w:val="20"/>
        </w:rPr>
      </w:pPr>
    </w:p>
    <w:p w:rsidR="002B5FA6" w:rsidRDefault="002B5FA6" w:rsidP="002B5FA6">
      <w:pPr>
        <w:numPr>
          <w:ilvl w:val="0"/>
          <w:numId w:val="23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GESTACION UNICA ACTIVA DE 13.3 +/- 0.5 SEMANAS POR BIOMETRIA FETAL.</w:t>
      </w:r>
    </w:p>
    <w:p w:rsidR="002B5FA6" w:rsidRDefault="002B5FA6" w:rsidP="002B5FA6">
      <w:pPr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2B5FA6" w:rsidRDefault="002B5FA6" w:rsidP="002B5FA6">
      <w:pPr>
        <w:ind w:left="36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S/S CONTROL POSTERIOR.</w:t>
      </w:r>
    </w:p>
    <w:p w:rsidR="002B5FA6" w:rsidRDefault="002B5FA6" w:rsidP="002B5FA6">
      <w:pPr>
        <w:jc w:val="both"/>
        <w:rPr>
          <w:rFonts w:ascii="Tahoma" w:hAnsi="Tahoma" w:cs="Tahoma"/>
          <w:b/>
          <w:sz w:val="20"/>
          <w:szCs w:val="20"/>
        </w:rPr>
      </w:pPr>
    </w:p>
    <w:p w:rsidR="00610CD2" w:rsidRPr="002B5FA6" w:rsidRDefault="00610CD2" w:rsidP="002B5FA6">
      <w:bookmarkStart w:id="0" w:name="_GoBack"/>
      <w:bookmarkEnd w:id="0"/>
    </w:p>
    <w:sectPr w:rsidR="00610CD2" w:rsidRPr="002B5FA6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5FA6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38B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A66F161-F177-4CDD-BD50-60C05396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0E0E40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2B5FA6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2005-08-02T17:40:00Z</cp:lastPrinted>
  <dcterms:created xsi:type="dcterms:W3CDTF">2016-02-10T16:23:00Z</dcterms:created>
  <dcterms:modified xsi:type="dcterms:W3CDTF">2019-03-26T22:56:00Z</dcterms:modified>
</cp:coreProperties>
</file>