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9B01F5">
        <w:rPr>
          <w:rFonts w:ascii="Tahoma" w:hAnsi="Tahoma" w:cs="Tahoma"/>
          <w:b/>
          <w:bCs/>
          <w:sz w:val="20"/>
          <w:szCs w:val="20"/>
        </w:rPr>
        <w:t>EXAMEN</w:t>
      </w:r>
      <w:r w:rsidRPr="009B01F5">
        <w:rPr>
          <w:rFonts w:ascii="Tahoma" w:hAnsi="Tahoma" w:cs="Tahoma"/>
          <w:b/>
          <w:bCs/>
          <w:sz w:val="20"/>
          <w:szCs w:val="20"/>
        </w:rPr>
        <w:tab/>
      </w:r>
      <w:r w:rsidRPr="009B01F5">
        <w:rPr>
          <w:rFonts w:ascii="Tahoma" w:hAnsi="Tahoma" w:cs="Tahoma"/>
          <w:b/>
          <w:sz w:val="20"/>
          <w:szCs w:val="20"/>
        </w:rPr>
        <w:tab/>
        <w:t xml:space="preserve">: </w:t>
      </w:r>
      <w:r w:rsidRPr="009B01F5">
        <w:rPr>
          <w:rFonts w:ascii="Tahoma" w:hAnsi="Tahoma" w:cs="Tahoma"/>
          <w:b/>
          <w:noProof/>
          <w:sz w:val="20"/>
          <w:szCs w:val="20"/>
        </w:rPr>
        <w:t>DOPPLER TRANSVAGINAL – IMPLICANCIA GENÉTICA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MARIEUCARYS DEL VALLE QUIJADA CARDONA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281ADF" w:rsidRPr="00A15CAE" w:rsidRDefault="00405B7F" w:rsidP="00281ADF">
      <w:pPr>
        <w:pStyle w:val="Textoindependiente"/>
        <w:rPr>
          <w:rFonts w:ascii="Tahoma" w:hAnsi="Tahoma" w:cs="Tahoma"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="00281ADF">
        <w:rPr>
          <w:rFonts w:ascii="Tahoma" w:hAnsi="Tahoma" w:cs="Tahoma"/>
          <w:i/>
          <w:color w:val="000000"/>
          <w:szCs w:val="20"/>
        </w:rPr>
        <w:t>165</w:t>
      </w:r>
      <w:r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="00B5153B">
        <w:rPr>
          <w:rFonts w:ascii="Tahoma" w:hAnsi="Tahoma" w:cs="Tahoma"/>
          <w:i/>
          <w:color w:val="000000"/>
          <w:szCs w:val="20"/>
        </w:rPr>
        <w:t xml:space="preserve">pulsaciones por minuto. </w:t>
      </w:r>
      <w:r w:rsidR="00281ADF" w:rsidRPr="00281ADF">
        <w:rPr>
          <w:rFonts w:ascii="Tahoma" w:hAnsi="Tahoma" w:cs="Tahoma"/>
          <w:i/>
          <w:color w:val="000000"/>
          <w:szCs w:val="20"/>
        </w:rPr>
        <w:t xml:space="preserve">Se objetiva en proyección del ventrículo izquierdo del corazón fetal la presencia </w:t>
      </w:r>
      <w:r w:rsidR="00281ADF">
        <w:rPr>
          <w:rFonts w:ascii="Tahoma" w:hAnsi="Tahoma" w:cs="Tahoma"/>
          <w:i/>
          <w:color w:val="000000"/>
          <w:szCs w:val="20"/>
        </w:rPr>
        <w:t>de 01 foco hiperecogénico de 1.4</w:t>
      </w:r>
      <w:r w:rsidR="00281ADF" w:rsidRPr="00281ADF">
        <w:rPr>
          <w:rFonts w:ascii="Tahoma" w:hAnsi="Tahoma" w:cs="Tahoma"/>
          <w:i/>
          <w:color w:val="000000"/>
          <w:szCs w:val="20"/>
        </w:rPr>
        <w:t>mm., de diámetro mayor. Corazón fetal de situación y conformación habitual con imagen tetracameral.</w:t>
      </w:r>
    </w:p>
    <w:p w:rsidR="00405B7F" w:rsidRPr="004C79CB" w:rsidRDefault="00B5153B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M</w:t>
      </w:r>
      <w:r w:rsidR="00405B7F"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>
        <w:rPr>
          <w:rFonts w:ascii="Tahoma" w:hAnsi="Tahoma" w:cs="Tahoma"/>
          <w:i/>
          <w:color w:val="000000"/>
          <w:szCs w:val="20"/>
        </w:rPr>
        <w:t>y de los miembros superiores e inferior</w:t>
      </w:r>
      <w:r w:rsidR="00405B7F" w:rsidRPr="004C79CB">
        <w:rPr>
          <w:rFonts w:ascii="Tahoma" w:hAnsi="Tahoma" w:cs="Tahoma"/>
          <w:i/>
          <w:color w:val="000000"/>
          <w:szCs w:val="20"/>
        </w:rPr>
        <w:t>es</w:t>
      </w:r>
      <w:r>
        <w:rPr>
          <w:rFonts w:ascii="Tahoma" w:hAnsi="Tahoma" w:cs="Tahoma"/>
          <w:i/>
          <w:color w:val="000000"/>
          <w:szCs w:val="20"/>
        </w:rPr>
        <w:t xml:space="preserve"> </w:t>
      </w:r>
      <w:r w:rsidR="00405B7F"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281ADF">
        <w:rPr>
          <w:rFonts w:ascii="Tahoma" w:hAnsi="Tahoma" w:cs="Tahoma"/>
          <w:i/>
          <w:color w:val="000000"/>
          <w:szCs w:val="20"/>
        </w:rPr>
        <w:tab/>
      </w:r>
      <w:r w:rsidR="00281ADF">
        <w:rPr>
          <w:rFonts w:ascii="Tahoma" w:hAnsi="Tahoma" w:cs="Tahoma"/>
          <w:i/>
          <w:color w:val="000000"/>
          <w:szCs w:val="20"/>
        </w:rPr>
        <w:tab/>
        <w:t>:</w:t>
      </w:r>
      <w:r w:rsidR="00281ADF">
        <w:rPr>
          <w:rFonts w:ascii="Tahoma" w:hAnsi="Tahoma" w:cs="Tahoma"/>
          <w:i/>
          <w:color w:val="000000"/>
          <w:szCs w:val="20"/>
        </w:rPr>
        <w:tab/>
        <w:t>71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281ADF">
        <w:rPr>
          <w:rFonts w:ascii="Tahoma" w:hAnsi="Tahoma" w:cs="Tahoma"/>
          <w:i/>
          <w:color w:val="000000"/>
          <w:szCs w:val="20"/>
        </w:rPr>
        <w:tab/>
      </w:r>
      <w:r w:rsidR="00281ADF">
        <w:rPr>
          <w:rFonts w:ascii="Tahoma" w:hAnsi="Tahoma" w:cs="Tahoma"/>
          <w:i/>
          <w:color w:val="000000"/>
          <w:szCs w:val="20"/>
        </w:rPr>
        <w:tab/>
      </w:r>
      <w:r w:rsidR="00281ADF">
        <w:rPr>
          <w:rFonts w:ascii="Tahoma" w:hAnsi="Tahoma" w:cs="Tahoma"/>
          <w:i/>
          <w:color w:val="000000"/>
          <w:szCs w:val="20"/>
        </w:rPr>
        <w:tab/>
        <w:t>:</w:t>
      </w:r>
      <w:r w:rsidR="00281ADF">
        <w:rPr>
          <w:rFonts w:ascii="Tahoma" w:hAnsi="Tahoma" w:cs="Tahoma"/>
          <w:i/>
          <w:color w:val="000000"/>
          <w:szCs w:val="20"/>
        </w:rPr>
        <w:tab/>
        <w:t>22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="00281ADF">
        <w:rPr>
          <w:rFonts w:ascii="Tahoma" w:hAnsi="Tahoma" w:cs="Tahoma"/>
          <w:i/>
          <w:color w:val="000000"/>
          <w:szCs w:val="20"/>
        </w:rPr>
        <w:t>10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281ADF">
        <w:rPr>
          <w:rFonts w:ascii="Tahoma" w:hAnsi="Tahoma" w:cs="Tahoma"/>
          <w:i/>
          <w:color w:val="000000"/>
          <w:szCs w:val="20"/>
        </w:rPr>
        <w:tab/>
        <w:t>: 1.7</w:t>
      </w:r>
      <w:r w:rsidRPr="004C79CB">
        <w:rPr>
          <w:rFonts w:ascii="Tahoma" w:hAnsi="Tahoma" w:cs="Tahoma"/>
          <w:i/>
          <w:color w:val="000000"/>
          <w:szCs w:val="20"/>
        </w:rPr>
        <w:t>mm (VN: &lt;3mm. – PATOL</w:t>
      </w:r>
      <w:r w:rsidR="00B5153B">
        <w:rPr>
          <w:rFonts w:ascii="Tahoma" w:hAnsi="Tahoma" w:cs="Tahoma"/>
          <w:i/>
          <w:color w:val="000000"/>
          <w:szCs w:val="20"/>
        </w:rPr>
        <w:t>Ó</w:t>
      </w:r>
      <w:r w:rsidRPr="004C79CB">
        <w:rPr>
          <w:rFonts w:ascii="Tahoma" w:hAnsi="Tahoma" w:cs="Tahoma"/>
          <w:i/>
          <w:color w:val="000000"/>
          <w:szCs w:val="20"/>
        </w:rPr>
        <w:t>GICO: &gt;3mm.)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bookmarkStart w:id="0" w:name="_GoBack"/>
      <w:bookmarkEnd w:id="0"/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PRESENTE</w:t>
      </w:r>
      <w:r w:rsidR="00281ADF">
        <w:rPr>
          <w:rFonts w:ascii="Tahoma" w:hAnsi="Tahoma" w:cs="Tahoma"/>
          <w:i/>
          <w:color w:val="000000"/>
          <w:szCs w:val="20"/>
        </w:rPr>
        <w:t>.</w:t>
      </w:r>
      <w:r w:rsidRPr="004C79CB">
        <w:rPr>
          <w:rFonts w:ascii="Tahoma" w:hAnsi="Tahoma" w:cs="Tahoma"/>
          <w:i/>
          <w:color w:val="000000"/>
          <w:szCs w:val="20"/>
        </w:rPr>
        <w:t xml:space="preserve"> 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281AD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VENOSO</w:t>
      </w:r>
      <w:r w:rsidR="00405B7F" w:rsidRPr="004C79CB">
        <w:rPr>
          <w:rFonts w:ascii="Tahoma" w:hAnsi="Tahoma"/>
          <w:b/>
          <w:i/>
          <w:color w:val="000000"/>
          <w:szCs w:val="20"/>
          <w:u w:val="single"/>
        </w:rPr>
        <w:t>:</w:t>
      </w:r>
      <w:r w:rsidR="00405B7F"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="00405B7F"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="00405B7F"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="00405B7F"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="00281ADF">
        <w:rPr>
          <w:rFonts w:ascii="Tahoma" w:hAnsi="Tahoma"/>
          <w:i/>
          <w:color w:val="000000"/>
          <w:szCs w:val="20"/>
        </w:rPr>
        <w:t>. Velocidad máxima: 39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>corporal posterior</w:t>
      </w:r>
      <w:r w:rsidR="00281ADF">
        <w:rPr>
          <w:rFonts w:ascii="Tahoma" w:hAnsi="Tahoma" w:cs="Tahoma"/>
          <w:i/>
          <w:color w:val="000000"/>
          <w:szCs w:val="20"/>
        </w:rPr>
        <w:t>, de inserción baja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. </w:t>
      </w:r>
      <w:r w:rsidR="00281ADF">
        <w:rPr>
          <w:rFonts w:ascii="Tahoma" w:hAnsi="Tahoma" w:cs="Tahoma"/>
          <w:i/>
          <w:color w:val="000000"/>
          <w:szCs w:val="20"/>
        </w:rPr>
        <w:t>S</w:t>
      </w:r>
      <w:r w:rsidR="00E149C7" w:rsidRPr="004C79CB">
        <w:rPr>
          <w:rFonts w:ascii="Tahoma" w:hAnsi="Tahoma" w:cs="Tahoma"/>
          <w:i/>
          <w:color w:val="000000"/>
          <w:szCs w:val="20"/>
        </w:rPr>
        <w:t>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281ADF">
        <w:rPr>
          <w:rFonts w:ascii="Tahoma" w:hAnsi="Tahoma" w:cs="Tahoma"/>
          <w:bCs/>
          <w:i/>
          <w:color w:val="000000"/>
          <w:sz w:val="20"/>
          <w:szCs w:val="20"/>
        </w:rPr>
        <w:t>de dimensiones conservadas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281AD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de dimensiones conservadas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  <w:r w:rsidR="00776D68" w:rsidRPr="004C79CB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281ADF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="006D42FC"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="00281ADF">
        <w:rPr>
          <w:rFonts w:ascii="Tahoma" w:hAnsi="Tahoma" w:cs="Tahoma"/>
          <w:i/>
          <w:color w:val="000000"/>
          <w:sz w:val="20"/>
          <w:szCs w:val="20"/>
        </w:rPr>
        <w:t>NICA ACTIVA DE 13.3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 +/- 1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281ADF" w:rsidRPr="00281ADF" w:rsidRDefault="00281ADF" w:rsidP="00281ADF">
      <w:pPr>
        <w:numPr>
          <w:ilvl w:val="0"/>
          <w:numId w:val="21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281ADF">
        <w:rPr>
          <w:rFonts w:ascii="Tahoma" w:hAnsi="Tahoma" w:cs="Tahoma"/>
          <w:i/>
          <w:color w:val="FF0000"/>
          <w:sz w:val="20"/>
          <w:szCs w:val="20"/>
        </w:rPr>
        <w:t>FOCO HIPERECOGENICO INTRACARDIACO DE EAD (HALLAZGO ECOGRAFICO “AISLATADO”).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4C79CB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77D81" w:rsidRDefault="00277D81" w:rsidP="00277D81">
      <w:pPr>
        <w:rPr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 ____________________________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DR. GUSTAVO NOLE ZAVALA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MÉDICO ECOGRAFISTA</w:t>
      </w:r>
    </w:p>
    <w:p w:rsidR="00277D81" w:rsidRDefault="00277D81" w:rsidP="00277D81">
      <w:pPr>
        <w:rPr>
          <w:rFonts w:ascii="Tempus Sans ITC" w:hAnsi="Tempus Sans ITC"/>
          <w:b/>
          <w:i/>
          <w:sz w:val="14"/>
          <w:szCs w:val="14"/>
        </w:rPr>
      </w:pPr>
      <w:r>
        <w:rPr>
          <w:rFonts w:ascii="Tempus Sans ITC" w:hAnsi="Tempus Sans ITC"/>
          <w:b/>
          <w:i/>
          <w:sz w:val="14"/>
          <w:szCs w:val="14"/>
        </w:rPr>
        <w:t xml:space="preserve">                       CMP. 28953</w:t>
      </w:r>
    </w:p>
    <w:p w:rsidR="00375243" w:rsidRPr="004C79CB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ADF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6631A5-6F98-4A48-84E4-69F51149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link w:val="TextodegloboCar"/>
    <w:semiHidden/>
    <w:unhideWhenUsed/>
    <w:rsid w:val="00281A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81AD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2019-04-17T21:19:00Z</cp:lastPrinted>
  <dcterms:created xsi:type="dcterms:W3CDTF">2016-02-10T16:21:00Z</dcterms:created>
  <dcterms:modified xsi:type="dcterms:W3CDTF">2019-04-17T21:21:00Z</dcterms:modified>
</cp:coreProperties>
</file>