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C4A" w:rsidRPr="005E47AB" w:rsidRDefault="00783C4A" w:rsidP="00783C4A">
      <w:pPr>
        <w:pStyle w:val="Puesto"/>
        <w:rPr>
          <w:rFonts w:ascii="Tahoma" w:hAnsi="Tahoma" w:cs="Tahoma"/>
          <w:color w:val="000000"/>
          <w:u w:val="single"/>
        </w:rPr>
      </w:pPr>
      <w:r w:rsidRPr="005E47AB">
        <w:rPr>
          <w:rFonts w:ascii="Tahoma" w:hAnsi="Tahoma" w:cs="Tahoma"/>
          <w:color w:val="000000"/>
          <w:u w:val="single"/>
        </w:rPr>
        <w:t>INFORME ECOGRAFICO</w:t>
      </w:r>
    </w:p>
    <w:p w:rsidR="00783C4A" w:rsidRPr="005E47AB" w:rsidRDefault="00783C4A" w:rsidP="00783C4A">
      <w:pPr>
        <w:rPr>
          <w:rFonts w:ascii="Tahoma" w:hAnsi="Tahoma" w:cs="Tahoma"/>
          <w:color w:val="000000"/>
          <w:sz w:val="20"/>
          <w:szCs w:val="20"/>
        </w:rPr>
      </w:pPr>
    </w:p>
    <w:p w:rsidR="00783C4A" w:rsidRDefault="00783C4A" w:rsidP="00783C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CANCINO FIERRO MARIZA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83C4A" w:rsidRDefault="00783C4A" w:rsidP="00783C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83C4A" w:rsidRDefault="00783C4A" w:rsidP="00783C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83C4A" w:rsidRDefault="00783C4A" w:rsidP="00783C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06/04/2019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83C4A" w:rsidRPr="005E47AB" w:rsidRDefault="00783C4A" w:rsidP="00783C4A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783C4A" w:rsidRPr="005E47AB" w:rsidRDefault="00783C4A" w:rsidP="00783C4A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5E47AB"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 w:rsidRPr="00622950">
        <w:rPr>
          <w:rFonts w:ascii="Tahoma" w:hAnsi="Tahoma" w:cs="Tahoma"/>
          <w:i/>
          <w:noProof/>
          <w:color w:val="000000"/>
          <w:sz w:val="20"/>
          <w:szCs w:val="20"/>
        </w:rPr>
        <w:t xml:space="preserve"> </w:t>
      </w:r>
      <w:r w:rsidRPr="005E47AB">
        <w:rPr>
          <w:rFonts w:ascii="Tahoma" w:hAnsi="Tahoma" w:cs="Tahoma"/>
          <w:i/>
          <w:noProof/>
          <w:color w:val="000000"/>
          <w:sz w:val="20"/>
          <w:szCs w:val="20"/>
        </w:rPr>
        <w:t>METODO 2D EN TIEMPO REAL UTILIZANDO TRANSDUCTOR INTRAVAGINAL MULTIFRECUENCIAL, MUESTRA:</w:t>
      </w:r>
    </w:p>
    <w:p w:rsidR="00783C4A" w:rsidRPr="005E47AB" w:rsidRDefault="00783C4A" w:rsidP="00783C4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Útero</w:t>
      </w:r>
      <w:r w:rsidRPr="005E47AB">
        <w:rPr>
          <w:rFonts w:ascii="Tahoma" w:hAnsi="Tahoma"/>
          <w:color w:val="000000"/>
          <w:sz w:val="20"/>
          <w:szCs w:val="20"/>
        </w:rPr>
        <w:t xml:space="preserve"> en AVF, medial en la cavidad pelvi</w:t>
      </w:r>
      <w:r>
        <w:rPr>
          <w:rFonts w:ascii="Tahoma" w:hAnsi="Tahoma"/>
          <w:color w:val="000000"/>
          <w:sz w:val="20"/>
          <w:szCs w:val="20"/>
        </w:rPr>
        <w:t>ana de volumen aumentado, mide 94 x 53 x 45</w:t>
      </w:r>
      <w:r w:rsidRPr="005E47AB">
        <w:rPr>
          <w:rFonts w:ascii="Tahoma" w:hAnsi="Tahoma"/>
          <w:color w:val="000000"/>
          <w:sz w:val="20"/>
          <w:szCs w:val="20"/>
        </w:rPr>
        <w:t>mm. En sentido Longitudinal, Transverso y AP.</w:t>
      </w:r>
      <w:r>
        <w:rPr>
          <w:rFonts w:ascii="Tahoma" w:hAnsi="Tahoma"/>
          <w:color w:val="000000"/>
          <w:sz w:val="20"/>
          <w:szCs w:val="20"/>
        </w:rPr>
        <w:t xml:space="preserve"> paredes regulares</w:t>
      </w:r>
      <w:r w:rsidRPr="005E47AB">
        <w:rPr>
          <w:rFonts w:ascii="Tahoma" w:hAnsi="Tahoma"/>
          <w:color w:val="000000"/>
          <w:sz w:val="20"/>
          <w:szCs w:val="20"/>
        </w:rPr>
        <w:t>.</w:t>
      </w: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 xml:space="preserve">Miometrio heterogéneo a nivel del fondo uterino y cara anterior condicionado por la presencia de </w:t>
      </w:r>
      <w:r>
        <w:rPr>
          <w:rFonts w:ascii="Tahoma" w:hAnsi="Tahoma"/>
          <w:color w:val="000000"/>
          <w:sz w:val="20"/>
          <w:szCs w:val="20"/>
        </w:rPr>
        <w:t>dos</w:t>
      </w:r>
      <w:r w:rsidRPr="005E47AB">
        <w:rPr>
          <w:rFonts w:ascii="Tahoma" w:hAnsi="Tahoma"/>
          <w:color w:val="000000"/>
          <w:sz w:val="20"/>
          <w:szCs w:val="20"/>
        </w:rPr>
        <w:t xml:space="preserve"> imágenes hipoecogénicas de aspecto nodular </w:t>
      </w:r>
      <w:r>
        <w:rPr>
          <w:rFonts w:ascii="Tahoma" w:hAnsi="Tahoma"/>
          <w:color w:val="000000"/>
          <w:sz w:val="20"/>
          <w:szCs w:val="20"/>
        </w:rPr>
        <w:t>de 20mm x 18mm y de 14mm x 11mm.</w:t>
      </w:r>
      <w:r w:rsidRPr="005E47AB">
        <w:rPr>
          <w:rFonts w:ascii="Tahoma" w:hAnsi="Tahoma"/>
          <w:color w:val="000000"/>
          <w:sz w:val="20"/>
          <w:szCs w:val="20"/>
        </w:rPr>
        <w:t xml:space="preserve"> </w:t>
      </w: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Cavidad uterina</w:t>
      </w:r>
      <w:r w:rsidRPr="005E47AB">
        <w:rPr>
          <w:rFonts w:ascii="Tahoma" w:hAnsi="Tahoma"/>
          <w:color w:val="000000"/>
          <w:sz w:val="20"/>
          <w:szCs w:val="20"/>
        </w:rPr>
        <w:t xml:space="preserve"> muestra endometrio de 10mm de espesor. Homogéneo,</w:t>
      </w: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Adecuada interfase endometrio – miometrio.</w:t>
      </w: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Cérvix,</w:t>
      </w:r>
      <w:r w:rsidRPr="005E47AB">
        <w:rPr>
          <w:rFonts w:ascii="Tahoma" w:hAnsi="Tahoma"/>
          <w:color w:val="000000"/>
          <w:sz w:val="20"/>
          <w:szCs w:val="20"/>
        </w:rPr>
        <w:t xml:space="preserve"> de ecotextura homogénea. </w:t>
      </w: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No se evidencian lesiones focales sólidas ni quísticas.</w:t>
      </w: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OCI cerrado.</w:t>
      </w: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color w:val="000000"/>
          <w:sz w:val="20"/>
          <w:szCs w:val="20"/>
        </w:rPr>
        <w:t>Regiones anexiales libres, no se evidencian masas complejas.</w:t>
      </w:r>
    </w:p>
    <w:p w:rsidR="00783C4A" w:rsidRPr="005E47AB" w:rsidRDefault="00783C4A" w:rsidP="00783C4A">
      <w:pPr>
        <w:widowControl w:val="0"/>
        <w:jc w:val="both"/>
        <w:rPr>
          <w:rFonts w:ascii="Tahoma" w:hAnsi="Tahoma"/>
          <w:b/>
          <w:color w:val="000000"/>
          <w:sz w:val="20"/>
          <w:szCs w:val="20"/>
        </w:rPr>
      </w:pP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>Ovario Derecho</w:t>
      </w:r>
      <w:r w:rsidRPr="005E47AB">
        <w:rPr>
          <w:rFonts w:ascii="Tahoma" w:hAnsi="Tahoma"/>
          <w:color w:val="000000"/>
          <w:sz w:val="20"/>
          <w:szCs w:val="20"/>
        </w:rPr>
        <w:t xml:space="preserve"> de contornos regulares y definidos, parénquima homogéneo. </w:t>
      </w: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32 x 13</w:t>
      </w:r>
      <w:r w:rsidRPr="005E47AB">
        <w:rPr>
          <w:rFonts w:ascii="Tahoma" w:hAnsi="Tahoma"/>
          <w:color w:val="000000"/>
          <w:sz w:val="20"/>
          <w:szCs w:val="20"/>
        </w:rPr>
        <w:t>mm. No se evidencian imágenes quísticas.</w:t>
      </w: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83C4A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5E47AB">
        <w:rPr>
          <w:rFonts w:ascii="Tahoma" w:hAnsi="Tahoma"/>
          <w:b/>
          <w:color w:val="000000"/>
          <w:sz w:val="20"/>
          <w:szCs w:val="20"/>
        </w:rPr>
        <w:t xml:space="preserve">Ovario Izquierdo </w:t>
      </w:r>
      <w:r w:rsidRPr="005E47AB">
        <w:rPr>
          <w:rFonts w:ascii="Tahoma" w:hAnsi="Tahoma"/>
          <w:color w:val="000000"/>
          <w:sz w:val="20"/>
          <w:szCs w:val="20"/>
        </w:rPr>
        <w:t>de contornos regulares y definido</w:t>
      </w:r>
      <w:r>
        <w:rPr>
          <w:rFonts w:ascii="Tahoma" w:hAnsi="Tahoma"/>
          <w:color w:val="000000"/>
          <w:sz w:val="20"/>
          <w:szCs w:val="20"/>
        </w:rPr>
        <w:t xml:space="preserve">s, parénquima homogéneo. </w:t>
      </w: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32 x 17</w:t>
      </w:r>
      <w:r w:rsidRPr="005E47AB">
        <w:rPr>
          <w:rFonts w:ascii="Tahoma" w:hAnsi="Tahoma"/>
          <w:color w:val="000000"/>
          <w:sz w:val="20"/>
          <w:szCs w:val="20"/>
        </w:rPr>
        <w:t>mm, No se evidencian imágenes quísticas.</w:t>
      </w: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 w:rsidRPr="00FC5579">
        <w:rPr>
          <w:rFonts w:ascii="Tahoma" w:hAnsi="Tahoma"/>
          <w:b/>
          <w:color w:val="000000"/>
          <w:sz w:val="20"/>
          <w:szCs w:val="20"/>
        </w:rPr>
        <w:t>Fondo de saco de douglas</w:t>
      </w:r>
      <w:r w:rsidRPr="005E47AB">
        <w:rPr>
          <w:rFonts w:ascii="Tahoma" w:hAnsi="Tahoma"/>
          <w:color w:val="000000"/>
          <w:sz w:val="20"/>
          <w:szCs w:val="20"/>
        </w:rPr>
        <w:t xml:space="preserve"> libre. </w:t>
      </w:r>
    </w:p>
    <w:p w:rsidR="00783C4A" w:rsidRPr="005E47AB" w:rsidRDefault="00783C4A" w:rsidP="00783C4A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783C4A" w:rsidRDefault="00783C4A" w:rsidP="00783C4A">
      <w:pPr>
        <w:pStyle w:val="Textoindependiente"/>
        <w:rPr>
          <w:rFonts w:ascii="Tahoma" w:hAnsi="Tahoma"/>
          <w:b/>
          <w:i/>
          <w:color w:val="000000"/>
          <w:sz w:val="20"/>
          <w:szCs w:val="20"/>
          <w:u w:val="single"/>
        </w:rPr>
      </w:pPr>
    </w:p>
    <w:p w:rsidR="00783C4A" w:rsidRPr="005E47AB" w:rsidRDefault="00783C4A" w:rsidP="00783C4A">
      <w:pPr>
        <w:pStyle w:val="Textoindependiente"/>
        <w:rPr>
          <w:rFonts w:ascii="Tahoma" w:hAnsi="Tahoma"/>
          <w:i/>
          <w:color w:val="000000"/>
          <w:sz w:val="20"/>
          <w:szCs w:val="20"/>
        </w:rPr>
      </w:pPr>
      <w:r w:rsidRPr="005E47AB">
        <w:rPr>
          <w:rFonts w:ascii="Tahoma" w:hAnsi="Tahoma"/>
          <w:b/>
          <w:i/>
          <w:color w:val="000000"/>
          <w:sz w:val="20"/>
          <w:szCs w:val="20"/>
          <w:u w:val="single"/>
        </w:rPr>
        <w:t>IMPRESIÓN DIAGNOSTICA</w:t>
      </w:r>
      <w:r w:rsidRPr="005E47AB">
        <w:rPr>
          <w:rFonts w:ascii="Tahoma" w:hAnsi="Tahoma"/>
          <w:b/>
          <w:i/>
          <w:color w:val="000000"/>
          <w:sz w:val="20"/>
          <w:szCs w:val="20"/>
        </w:rPr>
        <w:t xml:space="preserve">: </w:t>
      </w:r>
    </w:p>
    <w:p w:rsidR="00783C4A" w:rsidRPr="005E47AB" w:rsidRDefault="00783C4A" w:rsidP="00783C4A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783C4A" w:rsidRPr="005E47AB" w:rsidRDefault="00783C4A" w:rsidP="00783C4A">
      <w:pPr>
        <w:pStyle w:val="Sangradetextonormal"/>
        <w:numPr>
          <w:ilvl w:val="0"/>
          <w:numId w:val="6"/>
        </w:numPr>
        <w:rPr>
          <w:rFonts w:ascii="Tahoma" w:hAnsi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MIOMATOSIS UTERINA DE TIPO INTRAMURAL.</w:t>
      </w:r>
    </w:p>
    <w:p w:rsidR="00783C4A" w:rsidRPr="005E47AB" w:rsidRDefault="00783C4A" w:rsidP="00783C4A">
      <w:pPr>
        <w:pStyle w:val="Sangradetextonormal"/>
        <w:numPr>
          <w:ilvl w:val="0"/>
          <w:numId w:val="6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OVARIOS ECOGRAFICAMENTE CONSERVADOS</w:t>
      </w:r>
      <w:r w:rsidRPr="005E47AB">
        <w:rPr>
          <w:rFonts w:ascii="Tahoma" w:hAnsi="Tahoma"/>
          <w:i/>
          <w:color w:val="000000"/>
          <w:sz w:val="20"/>
          <w:szCs w:val="20"/>
        </w:rPr>
        <w:t>.</w:t>
      </w:r>
    </w:p>
    <w:p w:rsidR="00783C4A" w:rsidRPr="005E47AB" w:rsidRDefault="00783C4A" w:rsidP="00783C4A">
      <w:pPr>
        <w:rPr>
          <w:rFonts w:ascii="Tahoma" w:hAnsi="Tahoma"/>
          <w:i/>
          <w:color w:val="000000"/>
          <w:sz w:val="20"/>
          <w:szCs w:val="20"/>
        </w:rPr>
      </w:pPr>
    </w:p>
    <w:p w:rsidR="00783C4A" w:rsidRPr="005E47AB" w:rsidRDefault="00783C4A" w:rsidP="00783C4A">
      <w:pPr>
        <w:rPr>
          <w:rFonts w:ascii="Tahoma" w:hAnsi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S/S CORRELACION CON HALLAZGOS CLINICOS Y CONTROL POSTERIOR.</w:t>
      </w:r>
    </w:p>
    <w:p w:rsidR="00783C4A" w:rsidRPr="005E47AB" w:rsidRDefault="00783C4A" w:rsidP="00783C4A">
      <w:pPr>
        <w:rPr>
          <w:rFonts w:ascii="Tahoma" w:hAnsi="Tahoma"/>
          <w:i/>
          <w:color w:val="000000"/>
          <w:sz w:val="20"/>
          <w:szCs w:val="20"/>
        </w:rPr>
      </w:pPr>
    </w:p>
    <w:p w:rsidR="00783C4A" w:rsidRPr="005E47AB" w:rsidRDefault="00783C4A" w:rsidP="00783C4A">
      <w:pPr>
        <w:rPr>
          <w:rFonts w:ascii="Tahoma" w:hAnsi="Tahoma"/>
          <w:i/>
          <w:color w:val="000000"/>
          <w:sz w:val="20"/>
          <w:szCs w:val="20"/>
        </w:rPr>
      </w:pPr>
    </w:p>
    <w:p w:rsidR="00783C4A" w:rsidRPr="005E47AB" w:rsidRDefault="00783C4A" w:rsidP="00783C4A">
      <w:pPr>
        <w:rPr>
          <w:rFonts w:ascii="Tahoma" w:hAnsi="Tahoma" w:cs="Tahoma"/>
          <w:i/>
          <w:color w:val="000000"/>
          <w:sz w:val="20"/>
          <w:szCs w:val="20"/>
        </w:rPr>
      </w:pPr>
      <w:r w:rsidRPr="005E47AB">
        <w:rPr>
          <w:rFonts w:ascii="Tahoma" w:hAnsi="Tahoma"/>
          <w:i/>
          <w:color w:val="000000"/>
          <w:sz w:val="20"/>
          <w:szCs w:val="20"/>
        </w:rPr>
        <w:t>ATENTAMENTE,</w:t>
      </w:r>
    </w:p>
    <w:p w:rsidR="00783C4A" w:rsidRPr="005E47AB" w:rsidRDefault="00783C4A" w:rsidP="00783C4A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783C4A" w:rsidRPr="005E47AB" w:rsidRDefault="00783C4A" w:rsidP="00783C4A">
      <w:pPr>
        <w:pStyle w:val="Ttulo2"/>
        <w:jc w:val="left"/>
        <w:rPr>
          <w:rFonts w:ascii="Tahoma" w:hAnsi="Tahoma" w:cs="Tahoma"/>
          <w:color w:val="000000"/>
          <w:sz w:val="20"/>
          <w:szCs w:val="20"/>
        </w:rPr>
      </w:pPr>
    </w:p>
    <w:p w:rsidR="007B5821" w:rsidRPr="00783C4A" w:rsidRDefault="007B5821" w:rsidP="00783C4A">
      <w:bookmarkStart w:id="0" w:name="_GoBack"/>
      <w:bookmarkEnd w:id="0"/>
    </w:p>
    <w:sectPr w:rsidR="007B5821" w:rsidRPr="00783C4A" w:rsidSect="001573BB">
      <w:pgSz w:w="12240" w:h="15840"/>
      <w:pgMar w:top="2157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3C4A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011859-A467-4C1E-81DF-09E8E2E0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783C4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783C4A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783C4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2006-01-19T15:22:00Z</cp:lastPrinted>
  <dcterms:created xsi:type="dcterms:W3CDTF">2016-02-10T16:10:00Z</dcterms:created>
  <dcterms:modified xsi:type="dcterms:W3CDTF">2019-04-06T22:27:00Z</dcterms:modified>
</cp:coreProperties>
</file>