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81" w:rsidRDefault="00CE6981" w:rsidP="00CE6981">
      <w:pPr>
        <w:pStyle w:val="Ttul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>
        <w:rPr>
          <w:rFonts w:ascii="Arial Black" w:hAnsi="Arial Black"/>
          <w:i/>
          <w:color w:val="000000"/>
          <w:u w:val="single"/>
        </w:rPr>
        <w:t>INFORME ULTRASONOGRÁFICO</w:t>
      </w:r>
    </w:p>
    <w:p w:rsidR="00CE6981" w:rsidRDefault="00CE6981" w:rsidP="00CE6981">
      <w:pPr>
        <w:rPr>
          <w:rFonts w:ascii="Arial" w:hAnsi="Arial" w:cs="Arial"/>
          <w:i/>
          <w:color w:val="000000"/>
        </w:rPr>
      </w:pPr>
    </w:p>
    <w:p w:rsidR="00CE6981" w:rsidRDefault="00CE6981" w:rsidP="00CE698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MADUEÑO NINALAYA MERACLIA</w:t>
      </w:r>
    </w:p>
    <w:p w:rsidR="00CE6981" w:rsidRDefault="00CE6981" w:rsidP="00CE698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CE6981" w:rsidRDefault="00CE6981" w:rsidP="00CE698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INDICACION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0000</w:t>
      </w:r>
    </w:p>
    <w:p w:rsidR="00CE6981" w:rsidRDefault="00CE6981" w:rsidP="00CE698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29/03/19</w:t>
      </w:r>
    </w:p>
    <w:p w:rsidR="00CE6981" w:rsidRDefault="00CE6981" w:rsidP="00CE6981">
      <w:pPr>
        <w:rPr>
          <w:rFonts w:ascii="Tahoma" w:hAnsi="Tahoma" w:cs="Arial"/>
          <w:i/>
          <w:color w:val="000000"/>
          <w:sz w:val="20"/>
          <w:szCs w:val="20"/>
        </w:rPr>
      </w:pPr>
    </w:p>
    <w:p w:rsidR="00CE6981" w:rsidRDefault="00CE6981" w:rsidP="00CE6981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ESAOTE MODELO MyLAB EN ESCALA DE GRISES Y UTILIZANDO TRANSDUCTOR CONVEXO MULTIFRECUENCIAL PARA LA EXPLORACIÓN DEL ABDOMEN SUPERIOR, MUESTRA:</w:t>
      </w:r>
    </w:p>
    <w:p w:rsidR="00CE6981" w:rsidRDefault="00CE6981" w:rsidP="00CE6981">
      <w:pPr>
        <w:rPr>
          <w:rFonts w:ascii="Tahoma" w:hAnsi="Tahoma"/>
          <w:i/>
        </w:rPr>
      </w:pPr>
    </w:p>
    <w:p w:rsidR="00CE6981" w:rsidRDefault="00CE6981" w:rsidP="00CE698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>
        <w:rPr>
          <w:rFonts w:ascii="Tahoma" w:hAnsi="Tahoma"/>
          <w:i/>
          <w:color w:val="000000"/>
          <w:sz w:val="18"/>
          <w:szCs w:val="20"/>
        </w:rPr>
        <w:t>: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120mm de longitud a nivel del LHD. Muestra bordes definidos, ecogenicidad parenquimal aumentada en forma difusa y </w:t>
      </w:r>
      <w:proofErr w:type="spellStart"/>
      <w:r>
        <w:rPr>
          <w:rFonts w:ascii="Tahoma" w:hAnsi="Tahoma"/>
          <w:b w:val="0"/>
          <w:i/>
          <w:color w:val="000000"/>
          <w:sz w:val="18"/>
          <w:szCs w:val="20"/>
        </w:rPr>
        <w:t>ecotextura</w:t>
      </w:r>
      <w:proofErr w:type="spellEnd"/>
      <w:r>
        <w:rPr>
          <w:rFonts w:ascii="Tahoma" w:hAnsi="Tahoma"/>
          <w:b w:val="0"/>
          <w:i/>
          <w:color w:val="000000"/>
          <w:sz w:val="18"/>
          <w:szCs w:val="20"/>
        </w:rPr>
        <w:t xml:space="preserve"> homogénea sin evidencia de lesiones focales solidas ni quísticas. </w:t>
      </w:r>
    </w:p>
    <w:p w:rsidR="00CE6981" w:rsidRDefault="00CE6981" w:rsidP="00CE698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 </w:t>
      </w:r>
      <w:proofErr w:type="spellStart"/>
      <w:r>
        <w:rPr>
          <w:rFonts w:ascii="Tahoma" w:hAnsi="Tahoma"/>
          <w:b w:val="0"/>
          <w:i/>
          <w:color w:val="000000"/>
          <w:sz w:val="18"/>
          <w:szCs w:val="20"/>
        </w:rPr>
        <w:t>intrahepáticos</w:t>
      </w:r>
      <w:proofErr w:type="spellEnd"/>
      <w:r>
        <w:rPr>
          <w:rFonts w:ascii="Tahoma" w:hAnsi="Tahoma"/>
          <w:b w:val="0"/>
          <w:i/>
          <w:color w:val="000000"/>
          <w:sz w:val="18"/>
          <w:szCs w:val="20"/>
        </w:rPr>
        <w:t xml:space="preserve"> no muestran dilataciones.</w:t>
      </w:r>
    </w:p>
    <w:p w:rsidR="00CE6981" w:rsidRDefault="00CE6981" w:rsidP="00CE698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CE6981" w:rsidRDefault="00CE6981" w:rsidP="00CE698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5mm., de diámetro AP. Espacio de Morrison libre de colecciones.   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situación habitual e inadecuada distensión (colapsada), presenta forma piriforme siendo sus medidas de 82 x 30mm., en longitudinal y AP. 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&lt;10mm., de diámetro las cuales ocupan la totalidad de la luz vesicular. 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Colédoco proximal mide 3mm., de diámetro AP. </w:t>
      </w:r>
    </w:p>
    <w:p w:rsidR="00CE6981" w:rsidRDefault="00CE6981" w:rsidP="00CE698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19mm., de diámetro AP a nivel de la cabeza. Muestra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 homogénea y ecogenicidad conservada.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61mm., de longitud.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 homogénea sin evidencia de lesiones focales sólidas, quísticas ni focos de colección. Los bordes son regulares y lisos.</w:t>
      </w:r>
    </w:p>
    <w:p w:rsidR="00CE6981" w:rsidRDefault="00CE6981" w:rsidP="00CE698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CE6981" w:rsidRDefault="00CE6981" w:rsidP="00CE698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CE6981" w:rsidRDefault="00CE6981" w:rsidP="00CE698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COLECISTITIS CRÓNICA CALCULOSA.</w:t>
      </w:r>
    </w:p>
    <w:p w:rsidR="00CE6981" w:rsidRDefault="00CE6981" w:rsidP="00CE698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CE6981" w:rsidRDefault="00CE6981" w:rsidP="00CE698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CE6981" w:rsidRDefault="00CE6981" w:rsidP="00CE698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>
        <w:rPr>
          <w:rFonts w:ascii="Tahoma" w:hAnsi="Tahoma"/>
          <w:b w:val="0"/>
          <w:i/>
          <w:color w:val="000000"/>
          <w:szCs w:val="20"/>
        </w:rPr>
        <w:t>Atentamente,</w:t>
      </w:r>
    </w:p>
    <w:p w:rsidR="00CE6981" w:rsidRDefault="00CE6981" w:rsidP="00CE6981"/>
    <w:p w:rsidR="007B5821" w:rsidRPr="00CE6981" w:rsidRDefault="007B5821" w:rsidP="00CE6981"/>
    <w:sectPr w:rsidR="007B5821" w:rsidRPr="00CE698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6981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CE698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CE698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CE698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2019-04-05T20:10:00Z</dcterms:modified>
</cp:coreProperties>
</file>