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WENDY RAMIREZ PASHANASI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C55A92">
        <w:rPr>
          <w:rFonts w:ascii="Tahoma" w:hAnsi="Tahoma" w:cs="Arial"/>
          <w:i/>
          <w:color w:val="000000"/>
          <w:sz w:val="20"/>
          <w:szCs w:val="20"/>
        </w:rPr>
        <w:t>na de volumen aumentado, mide 73 x 45 x 41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C55A92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70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55A92" w:rsidRPr="00C55A92" w:rsidRDefault="00C55A92" w:rsidP="00C55A9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55A92">
        <w:rPr>
          <w:rFonts w:ascii="Tahoma" w:hAnsi="Tahoma" w:cs="Arial"/>
          <w:i/>
          <w:color w:val="000000"/>
          <w:sz w:val="20"/>
          <w:szCs w:val="20"/>
        </w:rPr>
        <w:t xml:space="preserve">Muestra miometrio heterogéneo condicionado por la presencia de </w:t>
      </w:r>
      <w:r w:rsidRPr="00C55A92">
        <w:rPr>
          <w:rFonts w:ascii="Tahoma" w:hAnsi="Tahoma" w:cs="Arial"/>
          <w:i/>
          <w:color w:val="000000"/>
          <w:sz w:val="20"/>
          <w:szCs w:val="20"/>
        </w:rPr>
        <w:t>02</w:t>
      </w:r>
      <w:r w:rsidRPr="00C55A92">
        <w:rPr>
          <w:rFonts w:ascii="Tahoma" w:hAnsi="Tahoma" w:cs="Arial"/>
          <w:i/>
          <w:color w:val="000000"/>
          <w:sz w:val="20"/>
          <w:szCs w:val="20"/>
        </w:rPr>
        <w:t xml:space="preserve"> imágenes hipoecogénicas de aspecto nodular </w:t>
      </w:r>
      <w:r w:rsidRPr="00C55A92">
        <w:rPr>
          <w:rFonts w:ascii="Tahoma" w:hAnsi="Tahoma" w:cs="Arial"/>
          <w:i/>
          <w:color w:val="000000"/>
          <w:sz w:val="20"/>
          <w:szCs w:val="20"/>
        </w:rPr>
        <w:t>de 10</w:t>
      </w:r>
      <w:r w:rsidRPr="00C55A92">
        <w:rPr>
          <w:rFonts w:ascii="Tahoma" w:hAnsi="Tahoma" w:cs="Arial"/>
          <w:i/>
          <w:color w:val="000000"/>
          <w:sz w:val="20"/>
          <w:szCs w:val="20"/>
        </w:rPr>
        <w:t>mm., involucrando pared anterior,</w:t>
      </w:r>
      <w:r w:rsidRPr="00C55A92">
        <w:rPr>
          <w:rFonts w:ascii="Tahoma" w:hAnsi="Tahoma" w:cs="Arial"/>
          <w:i/>
          <w:color w:val="000000"/>
          <w:sz w:val="20"/>
          <w:szCs w:val="20"/>
        </w:rPr>
        <w:t xml:space="preserve"> así mismo otra de 9mm. </w:t>
      </w:r>
      <w:proofErr w:type="gramStart"/>
      <w:r w:rsidRPr="00C55A92">
        <w:rPr>
          <w:rFonts w:ascii="Tahoma" w:hAnsi="Tahoma" w:cs="Arial"/>
          <w:i/>
          <w:color w:val="000000"/>
          <w:sz w:val="20"/>
          <w:szCs w:val="20"/>
        </w:rPr>
        <w:t>involucrando</w:t>
      </w:r>
      <w:proofErr w:type="gramEnd"/>
      <w:r w:rsidRPr="00C55A92">
        <w:rPr>
          <w:rFonts w:ascii="Tahoma" w:hAnsi="Tahoma" w:cs="Arial"/>
          <w:i/>
          <w:color w:val="000000"/>
          <w:sz w:val="20"/>
          <w:szCs w:val="20"/>
        </w:rPr>
        <w:t xml:space="preserve"> región submucosa fúndica </w:t>
      </w:r>
      <w:r w:rsidRPr="00C55A92">
        <w:rPr>
          <w:rFonts w:ascii="Tahoma" w:hAnsi="Tahoma" w:cs="Arial"/>
          <w:i/>
          <w:color w:val="000000"/>
          <w:sz w:val="20"/>
          <w:szCs w:val="20"/>
        </w:rPr>
        <w:t xml:space="preserve">posterior </w:t>
      </w:r>
      <w:r w:rsidRPr="00C55A92">
        <w:rPr>
          <w:rFonts w:ascii="Tahoma" w:hAnsi="Tahoma" w:cs="Arial"/>
          <w:i/>
          <w:color w:val="000000"/>
          <w:sz w:val="20"/>
          <w:szCs w:val="20"/>
        </w:rPr>
        <w:t>ejerciendo efecto de masa sobre la cavidad uterina.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C55A92">
        <w:rPr>
          <w:rFonts w:ascii="Tahoma" w:hAnsi="Tahoma" w:cs="Arial"/>
          <w:i/>
          <w:color w:val="000000"/>
          <w:sz w:val="20"/>
          <w:szCs w:val="20"/>
        </w:rPr>
        <w:t xml:space="preserve"> muestra endometrio de 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C55A92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24 x 13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C55A92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26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55A92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C55A92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C55A92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C55A92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55A92" w:rsidRPr="00C55A92" w:rsidRDefault="00C55A92" w:rsidP="00C55A92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55A92">
        <w:rPr>
          <w:rFonts w:ascii="Tahoma" w:hAnsi="Tahoma" w:cs="Arial"/>
          <w:i/>
          <w:color w:val="000000"/>
          <w:sz w:val="20"/>
          <w:szCs w:val="20"/>
        </w:rPr>
        <w:t>MIOMATOSIS UTERINA DE TIPO INTRAMURAL Y SUBMUCOSO.</w:t>
      </w:r>
    </w:p>
    <w:p w:rsidR="00832CF0" w:rsidRPr="00223124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bookmarkEnd w:id="0"/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7251D"/>
    <w:multiLevelType w:val="hybridMultilevel"/>
    <w:tmpl w:val="73003342"/>
    <w:lvl w:ilvl="0" w:tplc="4810F3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36FF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55A9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6EB44B6-9354-4890-A5C9-9F7B1968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55A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55A9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2019-04-13T22:33:00Z</cp:lastPrinted>
  <dcterms:created xsi:type="dcterms:W3CDTF">2016-02-10T16:10:00Z</dcterms:created>
  <dcterms:modified xsi:type="dcterms:W3CDTF">2019-04-13T23:01:00Z</dcterms:modified>
</cp:coreProperties>
</file>