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C1" w:rsidRDefault="002D24C1" w:rsidP="002D24C1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2D24C1" w:rsidRDefault="002D24C1" w:rsidP="002D24C1">
      <w:pPr>
        <w:rPr>
          <w:rFonts w:ascii="Tahoma" w:hAnsi="Tahoma" w:cs="Tahoma"/>
          <w:color w:val="000000"/>
          <w:sz w:val="20"/>
          <w:szCs w:val="20"/>
        </w:rPr>
      </w:pPr>
    </w:p>
    <w:p w:rsidR="002D24C1" w:rsidRDefault="002D24C1" w:rsidP="002D24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MORI SOPLA YANELA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D24C1" w:rsidRDefault="002D24C1" w:rsidP="002D24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D24C1" w:rsidRDefault="002D24C1" w:rsidP="002D24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00275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D24C1" w:rsidRDefault="002D24C1" w:rsidP="002D24C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D24C1" w:rsidRDefault="002D24C1" w:rsidP="002D24C1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2D24C1" w:rsidRDefault="002D24C1" w:rsidP="002D24C1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METODO 2D EN TIEMPO REAL UTILIZANDO TRANSDUCTOR INTRAVAGINAL MULTIFRECUENCIAL, MUESTRA:</w:t>
      </w:r>
    </w:p>
    <w:p w:rsidR="002D24C1" w:rsidRDefault="002D24C1" w:rsidP="002D24C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Útero</w:t>
      </w:r>
      <w:r>
        <w:rPr>
          <w:rFonts w:ascii="Tahoma" w:hAnsi="Tahoma"/>
          <w:color w:val="000000"/>
          <w:sz w:val="20"/>
          <w:szCs w:val="20"/>
        </w:rPr>
        <w:t xml:space="preserve"> en RVF, medial en la cavidad pelviana de volumen aumentado, mide 91 x 47 x 40mm. En sentido Longitudinal, Transverso y AP. paredes regulares, volumen: 89cc.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Miometrio heterogéneo a nivel de serosa de cara </w:t>
      </w:r>
      <w:proofErr w:type="spellStart"/>
      <w:r>
        <w:rPr>
          <w:rFonts w:ascii="Tahoma" w:hAnsi="Tahoma"/>
          <w:color w:val="000000"/>
          <w:sz w:val="20"/>
          <w:szCs w:val="20"/>
        </w:rPr>
        <w:t>canterior</w:t>
      </w:r>
      <w:proofErr w:type="spellEnd"/>
      <w:r>
        <w:rPr>
          <w:rFonts w:ascii="Tahoma" w:hAnsi="Tahoma"/>
          <w:color w:val="000000"/>
          <w:sz w:val="20"/>
          <w:szCs w:val="20"/>
        </w:rPr>
        <w:t>, condicionado por la presencia de una imagen hipoecogénica de aspecto nodular que mide 14 x 12mm.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Cavidad uterina</w:t>
      </w:r>
      <w:r>
        <w:rPr>
          <w:rFonts w:ascii="Tahoma" w:hAnsi="Tahoma"/>
          <w:color w:val="000000"/>
          <w:sz w:val="20"/>
          <w:szCs w:val="20"/>
        </w:rPr>
        <w:t xml:space="preserve"> muestra endometrio de 5mm de espesor. Homogéneo,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Adecuada interfase endometrio – miometrio.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Cérvix,</w:t>
      </w:r>
      <w:r>
        <w:rPr>
          <w:rFonts w:ascii="Tahoma" w:hAnsi="Tahoma"/>
          <w:color w:val="000000"/>
          <w:sz w:val="20"/>
          <w:szCs w:val="20"/>
        </w:rPr>
        <w:t xml:space="preserve"> de ecotextura homogénea. 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No se evidencian lesiones focales sólidas ni quísticas.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OCI cerrado.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Regiones anexiales libres, no se evidencian masas complejas.</w:t>
      </w:r>
    </w:p>
    <w:p w:rsidR="002D24C1" w:rsidRDefault="002D24C1" w:rsidP="002D24C1">
      <w:pPr>
        <w:widowControl w:val="0"/>
        <w:jc w:val="both"/>
        <w:rPr>
          <w:rFonts w:ascii="Tahoma" w:hAnsi="Tahoma"/>
          <w:b/>
          <w:color w:val="000000"/>
          <w:sz w:val="20"/>
          <w:szCs w:val="20"/>
        </w:rPr>
      </w:pP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>Ovario Derecho</w:t>
      </w:r>
      <w:r>
        <w:rPr>
          <w:rFonts w:ascii="Tahoma" w:hAnsi="Tahoma"/>
          <w:color w:val="000000"/>
          <w:sz w:val="20"/>
          <w:szCs w:val="20"/>
        </w:rPr>
        <w:t xml:space="preserve"> de contornos regulares y definidos, parénquima homogéneo. 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30 x 12mm. No se evidencian imágenes quísticas.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b/>
          <w:color w:val="000000"/>
          <w:sz w:val="20"/>
          <w:szCs w:val="20"/>
        </w:rPr>
        <w:t xml:space="preserve">Ovario Izquierdo </w:t>
      </w:r>
      <w:r>
        <w:rPr>
          <w:rFonts w:ascii="Tahoma" w:hAnsi="Tahoma"/>
          <w:color w:val="000000"/>
          <w:sz w:val="20"/>
          <w:szCs w:val="20"/>
        </w:rPr>
        <w:t xml:space="preserve">de contornos regulares y definidos, parénquima homogéneo. 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>Mide 29 x 17mm. No se evidencian imágenes quísticas.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  <w:r>
        <w:rPr>
          <w:rFonts w:ascii="Tahoma" w:hAnsi="Tahoma"/>
          <w:color w:val="000000"/>
          <w:sz w:val="20"/>
          <w:szCs w:val="20"/>
        </w:rPr>
        <w:t xml:space="preserve">Fondo de saco de douglas libre. </w:t>
      </w:r>
    </w:p>
    <w:p w:rsidR="002D24C1" w:rsidRDefault="002D24C1" w:rsidP="002D24C1">
      <w:pPr>
        <w:widowControl w:val="0"/>
        <w:jc w:val="both"/>
        <w:rPr>
          <w:rFonts w:ascii="Tahoma" w:hAnsi="Tahoma"/>
          <w:color w:val="000000"/>
          <w:sz w:val="20"/>
          <w:szCs w:val="20"/>
        </w:rPr>
      </w:pPr>
    </w:p>
    <w:p w:rsidR="002D24C1" w:rsidRDefault="002D24C1" w:rsidP="002D24C1">
      <w:pPr>
        <w:pStyle w:val="Textoindependiente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b/>
          <w:i/>
          <w:color w:val="000000"/>
          <w:sz w:val="20"/>
          <w:szCs w:val="20"/>
          <w:u w:val="single"/>
        </w:rPr>
        <w:t>HALLAZGOS ECOGRAFICOS EN RELACION A</w:t>
      </w:r>
      <w:r>
        <w:rPr>
          <w:rFonts w:ascii="Tahoma" w:hAnsi="Tahoma"/>
          <w:b/>
          <w:i/>
          <w:color w:val="000000"/>
          <w:sz w:val="20"/>
          <w:szCs w:val="20"/>
        </w:rPr>
        <w:t xml:space="preserve">: </w:t>
      </w:r>
    </w:p>
    <w:p w:rsidR="002D24C1" w:rsidRDefault="002D24C1" w:rsidP="002D24C1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2D24C1" w:rsidRDefault="002D24C1" w:rsidP="002D24C1">
      <w:pPr>
        <w:pStyle w:val="Sangradetextonormal"/>
        <w:numPr>
          <w:ilvl w:val="0"/>
          <w:numId w:val="7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MIOMATOSIS UTERINA DE TIPO SUBSEROSO EN FASE INCIPIENTE.</w:t>
      </w:r>
    </w:p>
    <w:p w:rsidR="002D24C1" w:rsidRDefault="002D24C1" w:rsidP="002D24C1">
      <w:pPr>
        <w:pStyle w:val="Sangradetextonormal"/>
        <w:numPr>
          <w:ilvl w:val="0"/>
          <w:numId w:val="7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OVARIOS CONSERVADOS ECOGRAFICAMENTE.</w:t>
      </w:r>
    </w:p>
    <w:p w:rsidR="002D24C1" w:rsidRDefault="002D24C1" w:rsidP="002D24C1">
      <w:pPr>
        <w:rPr>
          <w:rFonts w:ascii="Tahoma" w:hAnsi="Tahoma"/>
          <w:i/>
          <w:color w:val="000000"/>
          <w:sz w:val="20"/>
          <w:szCs w:val="20"/>
        </w:rPr>
      </w:pPr>
    </w:p>
    <w:p w:rsidR="002D24C1" w:rsidRDefault="002D24C1" w:rsidP="002D24C1">
      <w:p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S/S CORRELACION CON HALLAZGOS CLINICOS Y CONTROL POSTERIOR.</w:t>
      </w:r>
    </w:p>
    <w:p w:rsidR="002D24C1" w:rsidRDefault="002D24C1" w:rsidP="002D24C1">
      <w:pPr>
        <w:rPr>
          <w:rFonts w:ascii="Tahoma" w:hAnsi="Tahoma"/>
          <w:i/>
          <w:color w:val="000000"/>
          <w:sz w:val="20"/>
          <w:szCs w:val="20"/>
        </w:rPr>
      </w:pPr>
    </w:p>
    <w:p w:rsidR="002D24C1" w:rsidRDefault="002D24C1" w:rsidP="002D24C1">
      <w:pPr>
        <w:rPr>
          <w:rFonts w:ascii="Tahoma" w:hAnsi="Tahoma"/>
          <w:i/>
          <w:color w:val="000000"/>
          <w:sz w:val="20"/>
          <w:szCs w:val="20"/>
        </w:rPr>
      </w:pPr>
    </w:p>
    <w:p w:rsidR="002D24C1" w:rsidRDefault="002D24C1" w:rsidP="002D24C1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2D24C1" w:rsidRDefault="002D24C1" w:rsidP="002D24C1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D24C1" w:rsidRDefault="002D24C1" w:rsidP="002D24C1">
      <w:pPr>
        <w:pStyle w:val="Ttulo2"/>
        <w:jc w:val="left"/>
        <w:rPr>
          <w:rFonts w:ascii="Tahoma" w:hAnsi="Tahoma" w:cs="Tahoma"/>
          <w:color w:val="000000"/>
          <w:sz w:val="20"/>
          <w:szCs w:val="20"/>
        </w:rPr>
      </w:pPr>
    </w:p>
    <w:p w:rsidR="007B5821" w:rsidRPr="002D24C1" w:rsidRDefault="007B5821" w:rsidP="002D24C1">
      <w:bookmarkStart w:id="0" w:name="_GoBack"/>
      <w:bookmarkEnd w:id="0"/>
    </w:p>
    <w:sectPr w:rsidR="007B5821" w:rsidRPr="002D24C1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24C1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9FDFD73-C58B-4DBD-B59A-1D0406D2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2D24C1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2D24C1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2D24C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2006-01-19T15:22:00Z</cp:lastPrinted>
  <dcterms:created xsi:type="dcterms:W3CDTF">2016-02-10T16:10:00Z</dcterms:created>
  <dcterms:modified xsi:type="dcterms:W3CDTF">2019-04-04T00:53:00Z</dcterms:modified>
</cp:coreProperties>
</file>