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DECK# Specification</w:t>
      </w:r>
    </w:p>
    <w:p>
      <w:pPr>
        <w:pStyle w:val="Subtitle"/>
      </w:pPr>
      <w:r>
        <w:t xml:space="preserve">Layered annotation system for standard playing card deck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version: 0.7.0 · status: draft</w:t>
      </w:r>
    </w:p>
    <w:bookmarkStart w:id="10" w:name="nature-and-scope-of-the-system"/>
    <w:p>
      <w:pPr>
        <w:pStyle w:val="Heading2"/>
      </w:pPr>
      <w:r>
        <w:t xml:space="preserve">1. Nature and scope of the system</w:t>
      </w:r>
    </w:p>
    <w:p>
      <w:pPr>
        <w:pStyle w:val="FirstParagraph"/>
      </w:pPr>
      <w:r>
        <w:t xml:space="preserve">DECK# is a layered annotation protocol for a standard playing card deck (52 + 2 Jokers).</w:t>
      </w:r>
    </w:p>
    <w:p>
      <w:pPr>
        <w:pStyle w:val="BodyText"/>
      </w:pPr>
      <w:r>
        <w:t xml:space="preserve">Its purpose is to allow anyone to build and play complex board games using materials available anywhere, at minimal cost: a standard French-suited deck and two permanent markers. No proprietary components, no dedicated materials, no dependency on specific publishers or manufacturers.</w:t>
      </w:r>
    </w:p>
    <w:p>
      <w:pPr>
        <w:pStyle w:val="BodyText"/>
      </w:pPr>
      <w:r>
        <w:t xml:space="preserve">DECK# is inspired by</w:t>
      </w:r>
      <w:r>
        <w:t xml:space="preserve"> </w:t>
      </w:r>
      <w:r>
        <w:rPr>
          <w:b/>
          <w:bCs/>
        </w:rPr>
        <w:t xml:space="preserve">Piecepack</w:t>
      </w:r>
      <w:r>
        <w:t xml:space="preserve"> </w:t>
      </w:r>
      <w:r>
        <w:t xml:space="preserve">— an open component system for board games designed by James Kyle in 2000 — sharing its philosophy: a standardized, open substrate on which the community freely builds games. Like Piecepack, DECK# is open source.</w:t>
      </w:r>
    </w:p>
    <w:p>
      <w:pPr>
        <w:pStyle w:val="BodyText"/>
      </w:pPr>
      <w:r>
        <w:t xml:space="preserve">DECK#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a universal deck. It does not prescribe games, mechanics, gameplay semantics, or genres. It is an open system: it defines a shared graphic vocabulary and a physical annotation structure. Games built on DECK# use this vocabulary and assign their own meanings to it.</w:t>
      </w:r>
    </w:p>
    <w:p>
      <w:pPr>
        <w:pStyle w:val="BodyText"/>
      </w:pPr>
      <w:r>
        <w:t xml:space="preserve">The standard deck carries three pre-existing information axes that DECK# recognizes as</w:t>
      </w:r>
      <w:r>
        <w:t xml:space="preserve"> </w:t>
      </w:r>
      <w:r>
        <w:rPr>
          <w:b/>
          <w:bCs/>
        </w:rPr>
        <w:t xml:space="preserve">active and untouchable</w:t>
      </w:r>
      <w:r>
        <w:t xml:space="preserve">. Annotation adds information the card does not already have; it does not replace what is already there.</w:t>
      </w:r>
    </w:p>
    <w:p>
      <w:pPr>
        <w:pStyle w:val="BodyText"/>
      </w:pPr>
      <w:r>
        <w:t xml:space="preserve">DECK# is language-agnostic. The entire graphic vocabulary consists of geometric glyphs and Arabic numerals. No text is necessary or permitted in annotations.</w:t>
      </w:r>
    </w:p>
    <w:bookmarkStart w:id="9" w:name="out-of-scope"/>
    <w:p>
      <w:pPr>
        <w:pStyle w:val="Heading3"/>
      </w:pPr>
      <w:r>
        <w:t xml:space="preserve">Out of scope</w:t>
      </w:r>
    </w:p>
    <w:p>
      <w:pPr>
        <w:pStyle w:val="FirstParagraph"/>
      </w:pPr>
      <w:r>
        <w:t xml:space="preserve">The following elements are explicitly out of scope and delegated to individual games:</w:t>
      </w:r>
    </w:p>
    <w:p>
      <w:pPr>
        <w:pStyle w:val="Compact"/>
        <w:numPr>
          <w:ilvl w:val="0"/>
          <w:numId w:val="1001"/>
        </w:numPr>
      </w:pPr>
      <w:r>
        <w:t xml:space="preserve">The meaning of suits</w:t>
      </w:r>
    </w:p>
    <w:p>
      <w:pPr>
        <w:pStyle w:val="Compact"/>
        <w:numPr>
          <w:ilvl w:val="0"/>
          <w:numId w:val="1001"/>
        </w:numPr>
      </w:pPr>
      <w:r>
        <w:t xml:space="preserve">The meaning of the inherited red/black color axis</w:t>
      </w:r>
    </w:p>
    <w:p>
      <w:pPr>
        <w:pStyle w:val="Compact"/>
        <w:numPr>
          <w:ilvl w:val="0"/>
          <w:numId w:val="1001"/>
        </w:numPr>
      </w:pPr>
      <w:r>
        <w:t xml:space="preserve">The meaning of numeric ranks</w:t>
      </w:r>
    </w:p>
    <w:p>
      <w:pPr>
        <w:pStyle w:val="Compact"/>
        <w:numPr>
          <w:ilvl w:val="0"/>
          <w:numId w:val="1001"/>
        </w:numPr>
      </w:pPr>
      <w:r>
        <w:t xml:space="preserve">The meaning of each glyph (the vocabulary is shared; the semantics are not)</w:t>
      </w:r>
    </w:p>
    <w:p>
      <w:pPr>
        <w:pStyle w:val="Compact"/>
        <w:numPr>
          <w:ilvl w:val="0"/>
          <w:numId w:val="1001"/>
        </w:numPr>
      </w:pPr>
      <w:r>
        <w:t xml:space="preserve">The rank → mechanical function mapping (e.g., A–6 = space, 7–10 = resource)</w:t>
      </w:r>
    </w:p>
    <w:p>
      <w:pPr>
        <w:pStyle w:val="Compact"/>
        <w:numPr>
          <w:ilvl w:val="0"/>
          <w:numId w:val="1001"/>
        </w:numPr>
      </w:pPr>
      <w:r>
        <w:t xml:space="preserve">Movement rules and grid topology</w:t>
      </w:r>
    </w:p>
    <w:p>
      <w:pPr>
        <w:pStyle w:val="Compact"/>
        <w:numPr>
          <w:ilvl w:val="0"/>
          <w:numId w:val="1001"/>
        </w:numPr>
      </w:pPr>
      <w:r>
        <w:t xml:space="preserve">Resolution, combat, and interaction mechanics</w:t>
      </w:r>
    </w:p>
    <w:p>
      <w:pPr>
        <w:pStyle w:val="Compact"/>
        <w:numPr>
          <w:ilvl w:val="0"/>
          <w:numId w:val="1001"/>
        </w:numPr>
      </w:pPr>
      <w:r>
        <w:t xml:space="preserve">Economy and resource mechanics</w:t>
      </w:r>
    </w:p>
    <w:p>
      <w:pPr>
        <w:pStyle w:val="Compact"/>
        <w:numPr>
          <w:ilvl w:val="0"/>
          <w:numId w:val="1001"/>
        </w:numPr>
      </w:pPr>
      <w:r>
        <w:t xml:space="preserve">Wildcard activation conditions</w:t>
      </w:r>
    </w:p>
    <w:p>
      <w:pPr>
        <w:pStyle w:val="Compact"/>
        <w:numPr>
          <w:ilvl w:val="0"/>
          <w:numId w:val="1001"/>
        </w:numPr>
      </w:pPr>
      <w:r>
        <w:t xml:space="preserve">Victory conditions and scenario objectives</w:t>
      </w:r>
    </w:p>
    <w:p>
      <w:pPr>
        <w:pStyle w:val="Compact"/>
        <w:numPr>
          <w:ilvl w:val="0"/>
          <w:numId w:val="1001"/>
        </w:numPr>
      </w:pPr>
      <w:r>
        <w:t xml:space="preserve">Oracle mechanics for solo or cooperative play</w:t>
      </w:r>
    </w:p>
    <w:p>
      <w:pPr>
        <w:pStyle w:val="Compact"/>
        <w:numPr>
          <w:ilvl w:val="0"/>
          <w:numId w:val="1001"/>
        </w:numPr>
      </w:pPr>
      <w:r>
        <w:t xml:space="preserve">How many cards are used</w:t>
      </w:r>
    </w:p>
    <w:p>
      <w:pPr>
        <w:pStyle w:val="Compact"/>
        <w:numPr>
          <w:ilvl w:val="0"/>
          <w:numId w:val="1001"/>
        </w:numPr>
      </w:pPr>
      <w:r>
        <w:t xml:space="preserve">How cards are dealt</w:t>
      </w:r>
    </w:p>
    <w:p>
      <w:pPr>
        <w:pStyle w:val="Compact"/>
        <w:numPr>
          <w:ilvl w:val="0"/>
          <w:numId w:val="1001"/>
        </w:numPr>
      </w:pPr>
      <w:r>
        <w:t xml:space="preserve">The number of players</w:t>
      </w:r>
    </w:p>
    <w:bookmarkEnd w:id="9"/>
    <w:bookmarkEnd w:id="10"/>
    <w:bookmarkStart w:id="11" w:name="design-principles"/>
    <w:p>
      <w:pPr>
        <w:pStyle w:val="Heading2"/>
      </w:pPr>
      <w:r>
        <w:t xml:space="preserve">2.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accessibility:</w:t>
      </w:r>
      <w:r>
        <w:t xml:space="preserve"> </w:t>
      </w:r>
      <w:r>
        <w:t xml:space="preserve">the only physical requirement is a standard French-suited deck and two permanent markers (black and red). Materials available anywhere, with no proprietary or dedicated components.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Additive, non-destructive:</w:t>
      </w:r>
      <w:r>
        <w:t xml:space="preserve"> </w:t>
      </w:r>
      <w:r>
        <w:t xml:space="preserve">annotations add structural information without overwriting the inherited substrate.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Language-agnostic:</w:t>
      </w:r>
      <w:r>
        <w:t xml:space="preserve"> </w:t>
      </w:r>
      <w:r>
        <w:t xml:space="preserve">no text or letters. Only geometric glyphs and Arabic numerals.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Color constraint:</w:t>
      </w:r>
      <w:r>
        <w:t xml:space="preserve"> </w:t>
      </w:r>
      <w:r>
        <w:t xml:space="preserve">only black and red markers.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use:</w:t>
      </w:r>
      <w:r>
        <w:t xml:space="preserve"> </w:t>
      </w:r>
      <w:r>
        <w:t xml:space="preserve">cards are valid both as hidden information held in hand and as physical components laid on the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 reserved for quadrant markers:</w:t>
      </w:r>
      <w:r>
        <w:t xml:space="preserve"> </w:t>
      </w:r>
      <w:r>
        <w:t xml:space="preserve">the back of the 52 standard cards receives only quadrant markers — identical on all cards, therefore carrying no differential information. No other annotations on the back. Uniformity preserves the anonymity of face-down cards.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artifact:</w:t>
      </w:r>
      <w:r>
        <w:t xml:space="preserve"> </w:t>
      </w:r>
      <w:r>
        <w:t xml:space="preserve">the DECK# deck is fully annotated before any play session. Structural annotation is permanent and fixed. Variable states are tracked with physical tokens, not annotations.</w:t>
      </w:r>
    </w:p>
    <w:bookmarkEnd w:id="11"/>
    <w:bookmarkStart w:id="14" w:name="the-inherited-substrate"/>
    <w:p>
      <w:pPr>
        <w:pStyle w:val="Heading2"/>
      </w:pPr>
      <w:r>
        <w:t xml:space="preserve">3. The inherited substrate</w:t>
      </w:r>
    </w:p>
    <w:bookmarkStart w:id="12" w:name="the-three-axes"/>
    <w:p>
      <w:pPr>
        <w:pStyle w:val="Heading3"/>
      </w:pPr>
      <w:r>
        <w:t xml:space="preserve">3.1 The three axes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Red / Black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 polarity</w:t>
            </w:r>
          </w:p>
        </w:tc>
        <w:tc>
          <w:tcPr/>
          <w:p>
            <w:pPr>
              <w:pStyle w:val="Compact"/>
            </w:pPr>
            <w:r>
              <w:t xml:space="preserve">Hearts vs Diamonds (red) — Clubs vs Spades (black)</w:t>
            </w:r>
          </w:p>
        </w:tc>
        <w:tc>
          <w:tcPr/>
          <w:p>
            <w:pPr>
              <w:pStyle w:val="Compact"/>
            </w:pPr>
            <w:r>
              <w:t xml:space="preserve">Binary within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A(1) — 2 — … — 10 — J — Q — K</w:t>
            </w:r>
          </w:p>
        </w:tc>
        <w:tc>
          <w:tcPr/>
          <w:p>
            <w:pPr>
              <w:pStyle w:val="Compact"/>
            </w:pPr>
            <w:r>
              <w:t xml:space="preserve">Ordinal scale, 13 degrees</w:t>
            </w:r>
          </w:p>
        </w:tc>
      </w:tr>
    </w:tbl>
    <w:p>
      <w:pPr>
        <w:pStyle w:val="BodyText"/>
      </w:pPr>
      <w:r>
        <w:t xml:space="preserve">These axes are immutable. Each game decides how to map them to game concepts; they cannot be physically redefined on the card.</w:t>
      </w:r>
    </w:p>
    <w:bookmarkEnd w:id="12"/>
    <w:bookmarkStart w:id="13" w:name="notes-on-the-substrate"/>
    <w:p>
      <w:pPr>
        <w:pStyle w:val="Heading3"/>
      </w:pPr>
      <w:r>
        <w:t xml:space="preserve">3.2 Notes on the substrate</w:t>
      </w:r>
    </w:p>
    <w:p>
      <w:pPr>
        <w:pStyle w:val="Compact"/>
        <w:numPr>
          <w:ilvl w:val="0"/>
          <w:numId w:val="1003"/>
        </w:numPr>
      </w:pPr>
      <w:r>
        <w:t xml:space="preserve">Face cards (J, Q, K) form a subclass of the ordinal rank. Some games may treat them as a separate category.</w:t>
      </w:r>
    </w:p>
    <w:p>
      <w:pPr>
        <w:pStyle w:val="Compact"/>
        <w:numPr>
          <w:ilvl w:val="0"/>
          <w:numId w:val="1003"/>
        </w:numPr>
      </w:pPr>
      <w:r>
        <w:t xml:space="preserve">The Joker belongs to none of the three axes. It is structurally outside the system by definition. See section 7.</w:t>
      </w:r>
    </w:p>
    <w:p>
      <w:pPr>
        <w:pStyle w:val="Compact"/>
        <w:numPr>
          <w:ilvl w:val="0"/>
          <w:numId w:val="1003"/>
        </w:numPr>
      </w:pPr>
      <w:r>
        <w:t xml:space="preserve">The card back is a surface excluded from annotation. See Principle 5 (section 2).</w:t>
      </w:r>
    </w:p>
    <w:bookmarkEnd w:id="13"/>
    <w:bookmarkEnd w:id="14"/>
    <w:bookmarkStart w:id="20" w:name="the-graphic-vocabulary"/>
    <w:p>
      <w:pPr>
        <w:pStyle w:val="Heading2"/>
      </w:pPr>
      <w:r>
        <w:t xml:space="preserve">4. The graphic vocabulary</w:t>
      </w:r>
    </w:p>
    <w:bookmarkStart w:id="15" w:name="principles"/>
    <w:p>
      <w:pPr>
        <w:pStyle w:val="Heading3"/>
      </w:pPr>
      <w:r>
        <w:t xml:space="preserve">4.1 Principles</w:t>
      </w:r>
    </w:p>
    <w:p>
      <w:pPr>
        <w:pStyle w:val="Compact"/>
        <w:numPr>
          <w:ilvl w:val="0"/>
          <w:numId w:val="1004"/>
        </w:numPr>
      </w:pPr>
      <w:r>
        <w:t xml:space="preserve">All glyphs can be drawn with a few strokes by anyone, without artistic skill.</w:t>
      </w:r>
    </w:p>
    <w:p>
      <w:pPr>
        <w:pStyle w:val="Compact"/>
        <w:numPr>
          <w:ilvl w:val="0"/>
          <w:numId w:val="1004"/>
        </w:numPr>
      </w:pPr>
      <w:r>
        <w:t xml:space="preserve">The only additional chromatic resource is the red marker. Black is the default color.</w:t>
      </w:r>
    </w:p>
    <w:p>
      <w:pPr>
        <w:pStyle w:val="Compact"/>
        <w:numPr>
          <w:ilvl w:val="0"/>
          <w:numId w:val="1004"/>
        </w:numPr>
      </w:pPr>
      <w:r>
        <w:t xml:space="preserve">No text. No glyph that references any specific alphabet.</w:t>
      </w:r>
    </w:p>
    <w:p>
      <w:pPr>
        <w:pStyle w:val="Compact"/>
        <w:numPr>
          <w:ilvl w:val="0"/>
          <w:numId w:val="1004"/>
        </w:numPr>
      </w:pPr>
      <w:r>
        <w:t xml:space="preserve">Glyphs must not be visually confused with the existing suits.</w:t>
      </w:r>
    </w:p>
    <w:bookmarkEnd w:id="15"/>
    <w:bookmarkStart w:id="16" w:name="primary-glyphs"/>
    <w:p>
      <w:pPr>
        <w:pStyle w:val="Heading3"/>
      </w:pPr>
      <w:r>
        <w:t xml:space="preserve">4.2 Primary glyphs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Strokes</w:t>
            </w:r>
          </w:p>
        </w:tc>
        <w:tc>
          <w:tcPr/>
          <w:p>
            <w:pPr>
              <w:pStyle w:val="Compact"/>
            </w:pPr>
            <w:r>
              <w:t xml:space="preserve">Natural semantics (not prescribed)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• dot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presence, activation,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edge, separation,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cross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connection, crossing, 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 diagonal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negation, block,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△ triangle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direction, hierarchy, gradient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○ circle</w:t>
            </w:r>
          </w:p>
        </w:tc>
        <w:tc>
          <w:tcPr/>
          <w:p>
            <w:pPr>
              <w:pStyle w:val="Compact"/>
            </w:pPr>
            <w:r>
              <w:t xml:space="preserve">1 curved</w:t>
            </w:r>
          </w:p>
        </w:tc>
        <w:tc>
          <w:tcPr/>
          <w:p>
            <w:pPr>
              <w:pStyle w:val="Compact"/>
            </w:pPr>
            <w:r>
              <w:t xml:space="preserve">cycle, containment, neutral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 square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zone, region, closed space</w:t>
            </w:r>
          </w:p>
        </w:tc>
      </w:tr>
    </w:tbl>
    <w:p>
      <w:pPr>
        <w:pStyle w:val="BodyText"/>
      </w:pPr>
      <w:r>
        <w:t xml:space="preserve">Seven glyphs. The</w:t>
      </w:r>
      <w:r>
        <w:t xml:space="preserve"> </w:t>
      </w:r>
      <w:r>
        <w:t xml:space="preserve">“natural semantics”</w:t>
      </w:r>
      <w:r>
        <w:t xml:space="preserve"> </w:t>
      </w:r>
      <w:r>
        <w:t xml:space="preserve">column suggests intuitive associations; it does not prescribe them.</w:t>
      </w:r>
    </w:p>
    <w:bookmarkEnd w:id="16"/>
    <w:bookmarkStart w:id="17" w:name="glyph-color-contrasting-rule"/>
    <w:p>
      <w:pPr>
        <w:pStyle w:val="Heading3"/>
      </w:pPr>
      <w:r>
        <w:t xml:space="preserve">4.3 Glyph color — contrasting rule</w:t>
      </w:r>
    </w:p>
    <w:p>
      <w:pPr>
        <w:pStyle w:val="FirstParagraph"/>
      </w:pPr>
      <w:r>
        <w:t xml:space="preserve">Primary and modifier glyphs are drawn in the</w:t>
      </w:r>
      <w:r>
        <w:t xml:space="preserve"> </w:t>
      </w:r>
      <w:r>
        <w:rPr>
          <w:b/>
          <w:bCs/>
        </w:rPr>
        <w:t xml:space="preserve">contrasting</w:t>
      </w:r>
      <w:r>
        <w:t xml:space="preserve"> </w:t>
      </w:r>
      <w:r>
        <w:t xml:space="preserve">color relative to the card’s suit:</w:t>
      </w:r>
    </w:p>
    <w:p>
      <w:pPr>
        <w:pStyle w:val="Compact"/>
        <w:numPr>
          <w:ilvl w:val="0"/>
          <w:numId w:val="1005"/>
        </w:numPr>
      </w:pPr>
      <w:r>
        <w:t xml:space="preserve">Red cards (♥ ♦): glyphs in</w:t>
      </w:r>
      <w:r>
        <w:t xml:space="preserve"> </w:t>
      </w:r>
      <w:r>
        <w:rPr>
          <w:b/>
          <w:bCs/>
        </w:rPr>
        <w:t xml:space="preserve">black</w:t>
      </w:r>
    </w:p>
    <w:p>
      <w:pPr>
        <w:pStyle w:val="Compact"/>
        <w:numPr>
          <w:ilvl w:val="0"/>
          <w:numId w:val="1005"/>
        </w:numPr>
      </w:pPr>
      <w:r>
        <w:t xml:space="preserve">Black cards (♣ ♠): glyphs in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FirstParagraph"/>
      </w:pPr>
      <w:r>
        <w:t xml:space="preserve">This rule ensures clear visual separation between annotation and substrate on all cards. The glyph color is entirely derivable from suit — it adds no differential information but maximizes legibility.</w:t>
      </w:r>
    </w:p>
    <w:bookmarkEnd w:id="17"/>
    <w:bookmarkStart w:id="18" w:name="numeric-glyphs"/>
    <w:p>
      <w:pPr>
        <w:pStyle w:val="Heading3"/>
      </w:pPr>
      <w:r>
        <w:t xml:space="preserve">4.4 Numeric glyphs</w:t>
      </w:r>
    </w:p>
    <w:p>
      <w:pPr>
        <w:pStyle w:val="FirstParagraph"/>
      </w:pPr>
      <w:r>
        <w:t xml:space="preserve">Digits 0–9 (Arabic) may be used in annotatable zones as quantities, levels, or counters. They combine with color following the same logic as primary glyphs.</w:t>
      </w:r>
    </w:p>
    <w:bookmarkEnd w:id="18"/>
    <w:bookmarkStart w:id="19" w:name="visual-conflicts-to-avoid"/>
    <w:p>
      <w:pPr>
        <w:pStyle w:val="Heading3"/>
      </w:pPr>
      <w:r>
        <w:t xml:space="preserve">4.5 Visual conflicts to avoid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</w:t>
            </w:r>
          </w:p>
        </w:tc>
        <w:tc>
          <w:tcPr/>
          <w:p>
            <w:pPr>
              <w:pStyle w:val="Compact"/>
            </w:pPr>
            <w:r>
              <w:t xml:space="preserve">Reserved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Hearts</w:t>
            </w:r>
          </w:p>
        </w:tc>
        <w:tc>
          <w:tcPr/>
          <w:p>
            <w:pPr>
              <w:pStyle w:val="Compact"/>
            </w:pPr>
            <w:r>
              <w:t xml:space="preserve">Heart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Diamonds</w:t>
            </w:r>
          </w:p>
        </w:tc>
        <w:tc>
          <w:tcPr/>
          <w:p>
            <w:pPr>
              <w:pStyle w:val="Compact"/>
            </w:pPr>
            <w:r>
              <w:t xml:space="preserve">Full or empty diamond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Clubs</w:t>
            </w:r>
          </w:p>
        </w:tc>
        <w:tc>
          <w:tcPr/>
          <w:p>
            <w:pPr>
              <w:pStyle w:val="Compact"/>
            </w:pPr>
            <w:r>
              <w:t xml:space="preserve">Trefoil / three-lobed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Spades</w:t>
            </w:r>
          </w:p>
        </w:tc>
        <w:tc>
          <w:tcPr/>
          <w:p>
            <w:pPr>
              <w:pStyle w:val="Compact"/>
            </w:pPr>
            <w:r>
              <w:t xml:space="preserve">Spade / inverted heart with stem</w:t>
            </w:r>
          </w:p>
        </w:tc>
      </w:tr>
    </w:tbl>
    <w:p>
      <w:pPr>
        <w:pStyle w:val="BodyText"/>
      </w:pPr>
      <w:r>
        <w:t xml:space="preserve">The square □ and circle ○ do not conflict with any suit. The triangle △ is safe if drawn small and in a corner position.</w:t>
      </w:r>
    </w:p>
    <w:bookmarkEnd w:id="19"/>
    <w:bookmarkEnd w:id="20"/>
    <w:bookmarkStart w:id="21" w:name="annotatable-zones"/>
    <w:p>
      <w:pPr>
        <w:pStyle w:val="Heading2"/>
      </w:pPr>
      <w:r>
        <w:t xml:space="preserve">5. Annotatable zones</w:t>
      </w:r>
    </w:p>
    <w:p>
      <w:pPr>
        <w:pStyle w:val="SourceCode"/>
      </w:pPr>
      <w:r>
        <w:rPr>
          <w:rStyle w:val="VerbatimChar"/>
        </w:rPr>
        <w:t xml:space="preserve">[NW] ----[N]---- [NE]</w:t>
      </w:r>
      <w:r>
        <w:br/>
      </w:r>
      <w:r>
        <w:rPr>
          <w:rStyle w:val="VerbatimChar"/>
        </w:rPr>
        <w:t xml:space="preserve">  |               |</w:t>
      </w:r>
      <w:r>
        <w:br/>
      </w:r>
      <w:r>
        <w:rPr>
          <w:rStyle w:val="VerbatimChar"/>
        </w:rPr>
        <w:t xml:space="preserve"> [W]  [center]  [E]</w:t>
      </w:r>
      <w:r>
        <w:br/>
      </w:r>
      <w:r>
        <w:rPr>
          <w:rStyle w:val="VerbatimChar"/>
        </w:rPr>
        <w:t xml:space="preserve">  |               |</w:t>
      </w:r>
      <w:r>
        <w:br/>
      </w:r>
      <w:r>
        <w:rPr>
          <w:rStyle w:val="VerbatimChar"/>
        </w:rPr>
        <w:t xml:space="preserve">[SW] ----[S]---- [SE]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DECK# Annotation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Lower middle edge (internal)</w:t>
            </w:r>
          </w:p>
        </w:tc>
        <w:tc>
          <w:tcPr/>
          <w:p>
            <w:pPr>
              <w:pStyle w:val="Compact"/>
            </w:pPr>
            <w:r>
              <w:t xml:space="preserve">Primary glyph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Upper middle edge (internal)</w:t>
            </w:r>
          </w:p>
        </w:tc>
        <w:tc>
          <w:tcPr/>
          <w:p>
            <w:pPr>
              <w:pStyle w:val="Compact"/>
            </w:pPr>
            <w:r>
              <w:t xml:space="preserve">Mirror of primary — hand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Upper right corner</w:t>
            </w:r>
          </w:p>
        </w:tc>
        <w:tc>
          <w:tcPr/>
          <w:p>
            <w:pPr>
              <w:pStyle w:val="Compact"/>
            </w:pPr>
            <w:r>
              <w:t xml:space="preserve">Modifier glyph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</w:t>
            </w:r>
          </w:p>
        </w:tc>
        <w:tc>
          <w:tcPr/>
          <w:p>
            <w:pPr>
              <w:pStyle w:val="Compact"/>
            </w:pPr>
            <w:r>
              <w:t xml:space="preserve">Lower left corner</w:t>
            </w:r>
          </w:p>
        </w:tc>
        <w:tc>
          <w:tcPr/>
          <w:p>
            <w:pPr>
              <w:pStyle w:val="Compact"/>
            </w:pPr>
            <w:r>
              <w:t xml:space="preserve">Mirror of modifier — hand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Lower right corner</w:t>
            </w:r>
          </w:p>
        </w:tc>
        <w:tc>
          <w:tcPr/>
          <w:p>
            <w:pPr>
              <w:pStyle w:val="Compact"/>
            </w:pPr>
            <w:r>
              <w:t xml:space="preserve">Orientation dot (north pole)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</w:t>
            </w:r>
          </w:p>
        </w:tc>
        <w:tc>
          <w:tcPr/>
          <w:p>
            <w:pPr>
              <w:pStyle w:val="Compact"/>
            </w:pPr>
            <w:r>
              <w:t xml:space="preserve">Upper left corner</w:t>
            </w:r>
          </w:p>
        </w:tc>
        <w:tc>
          <w:tcPr/>
          <w:p>
            <w:pPr>
              <w:pStyle w:val="Compact"/>
            </w:pPr>
            <w:r>
              <w:t xml:space="preserve">Reserved — pre-printed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 / E / 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used by DECK# annotation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Physical edges:</w:t>
      </w:r>
      <w:r>
        <w:t xml:space="preserve"> </w:t>
      </w:r>
      <w:r>
        <w:t xml:space="preserve">connectivity markers occupy the external white margin of the card (~3–4 mm) — physically separate from the internal zones.</w:t>
      </w:r>
    </w:p>
    <w:p>
      <w:pPr>
        <w:pStyle w:val="BodyText"/>
      </w:pPr>
      <w:r>
        <w:rPr>
          <w:b/>
          <w:bCs/>
        </w:rPr>
        <w:t xml:space="preserve">Symmetrical placement rule:</w:t>
      </w:r>
      <w:r>
        <w:t xml:space="preserve"> </w:t>
      </w:r>
      <w:r>
        <w:t xml:space="preserve">each glyph appears in two mirror positions — primary zone and mirror zone. This ensures fan readability regardless of card orientation in hand.</w:t>
      </w:r>
    </w:p>
    <w:p>
      <w:pPr>
        <w:pStyle w:val="BodyText"/>
      </w:pPr>
      <w:r>
        <w:rPr>
          <w:b/>
          <w:bCs/>
        </w:rPr>
        <w:t xml:space="preserve">Note on NW:</w:t>
      </w:r>
      <w:r>
        <w:t xml:space="preserve"> </w:t>
      </w:r>
      <w:r>
        <w:t xml:space="preserve">corner partially occupied by the pre-printed index. No DECK# annotation in this zone.</w:t>
      </w:r>
    </w:p>
    <w:bookmarkEnd w:id="21"/>
    <w:bookmarkStart w:id="27" w:name="the-spatial-system"/>
    <w:p>
      <w:pPr>
        <w:pStyle w:val="Heading2"/>
      </w:pPr>
      <w:r>
        <w:t xml:space="preserve">6. The spatial system</w:t>
      </w:r>
    </w:p>
    <w:bookmarkStart w:id="22" w:name="the-symmetry-problem"/>
    <w:p>
      <w:pPr>
        <w:pStyle w:val="Heading3"/>
      </w:pPr>
      <w:r>
        <w:t xml:space="preserve">6.1 The symmetry problem</w:t>
      </w:r>
    </w:p>
    <w:p>
      <w:pPr>
        <w:pStyle w:val="FirstParagraph"/>
      </w:pPr>
      <w:r>
        <w:t xml:space="preserve">Standard cards have vertical symmetry: they read the same upside down. As soon as a game introduces spatial elements, this symmetry must be explicitly broken.</w:t>
      </w:r>
    </w:p>
    <w:bookmarkEnd w:id="22"/>
    <w:bookmarkStart w:id="23" w:name="the-north-pole-convention"/>
    <w:p>
      <w:pPr>
        <w:pStyle w:val="Heading3"/>
      </w:pPr>
      <w:r>
        <w:t xml:space="preserve">6.2 The north pole convention</w:t>
      </w:r>
    </w:p>
    <w:p>
      <w:pPr>
        <w:pStyle w:val="FirstParagraph"/>
      </w:pPr>
      <w:r>
        <w:t xml:space="preserve">The north pole of a card is the side with the index in canonical position (NW at top left). Recommended practice for sessions with spatial elements: draw a small dot in the SE corner before the session begins — a corner free from printing, asymmetric with respect to the NW index.</w:t>
      </w:r>
    </w:p>
    <w:bookmarkEnd w:id="23"/>
    <w:bookmarkStart w:id="24" w:name="edge-markers"/>
    <w:p>
      <w:pPr>
        <w:pStyle w:val="Heading3"/>
      </w:pPr>
      <w:r>
        <w:t xml:space="preserve">6.3 Edge markers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Marking</w:t>
            </w:r>
          </w:p>
        </w:tc>
        <w:tc>
          <w:tcPr/>
          <w:p>
            <w:pPr>
              <w:pStyle w:val="Compact"/>
            </w:pPr>
            <w:r>
              <w:t xml:space="preserve">Structural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 full-edge line</w:t>
            </w:r>
          </w:p>
        </w:tc>
        <w:tc>
          <w:tcPr/>
          <w:p>
            <w:pPr>
              <w:pStyle w:val="Compact"/>
            </w:pPr>
            <w:r>
              <w:t xml:space="preserve">Wall: passage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Unmarked edge</w:t>
            </w:r>
          </w:p>
        </w:tc>
        <w:tc>
          <w:tcPr/>
          <w:p>
            <w:pPr>
              <w:pStyle w:val="Compact"/>
            </w:pPr>
            <w:r>
              <w:t xml:space="preserve">Open: connected, passable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 • at edge midpoint</w:t>
            </w:r>
          </w:p>
        </w:tc>
        <w:tc>
          <w:tcPr/>
          <w:p>
            <w:pPr>
              <w:pStyle w:val="Compact"/>
            </w:pPr>
            <w:r>
              <w:t xml:space="preserve">Threshold: intermediate state, defined by the game</w:t>
            </w:r>
          </w:p>
        </w:tc>
      </w:tr>
    </w:tbl>
    <w:p>
      <w:pPr>
        <w:pStyle w:val="BodyText"/>
      </w:pPr>
      <w:r>
        <w:t xml:space="preserve">When cards are placed adjacent on the table, the edges in contact are read as the interface between two spaces.</w:t>
      </w:r>
    </w:p>
    <w:bookmarkEnd w:id="24"/>
    <w:bookmarkStart w:id="25" w:name="quadrant-markers"/>
    <w:p>
      <w:pPr>
        <w:pStyle w:val="Heading3"/>
      </w:pPr>
      <w:r>
        <w:t xml:space="preserve">6.4 Quadrant markers</w:t>
      </w:r>
    </w:p>
    <w:p>
      <w:pPr>
        <w:pStyle w:val="FirstParagraph"/>
      </w:pPr>
      <w:r>
        <w:t xml:space="preserve">Quadrant markers are found on the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of the 52 standard cards. They are identical on all cards — they reveal no differential information when the card is face-down.</w:t>
      </w:r>
    </w:p>
    <w:p>
      <w:pPr>
        <w:pStyle w:val="BodyText"/>
      </w:pPr>
      <w:r>
        <w:t xml:space="preserve">Two variants are available; the choice is left to whoever annotates the deck:</w:t>
      </w:r>
    </w:p>
    <w:p>
      <w:pPr>
        <w:pStyle w:val="BodyText"/>
      </w:pPr>
      <w:r>
        <w:rPr>
          <w:b/>
          <w:bCs/>
        </w:rPr>
        <w:t xml:space="preserve">Minimal variant</w:t>
      </w:r>
      <w:r>
        <w:t xml:space="preserve"> </w:t>
      </w:r>
      <w:r>
        <w:t xml:space="preserve">— four short segments from the midpoint of each edge toward the interior, without crossing the center: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     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rPr>
          <w:b/>
          <w:bCs/>
        </w:rPr>
        <w:t xml:space="preserve">Extended variant</w:t>
      </w:r>
      <w:r>
        <w:t xml:space="preserve"> </w:t>
      </w:r>
      <w:r>
        <w:t xml:space="preserve">— full cross from edge to edge (the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from the DECK# vocabulary, applied to the back with a fixed structural function):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————+————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t xml:space="preserve">Both variants are drawn in black. Jokers receive quadrant markers on the back — identical to those on the 52 standard cards — but receive no annotation on the front face beyond the SE dot.</w:t>
      </w:r>
    </w:p>
    <w:bookmarkEnd w:id="25"/>
    <w:bookmarkStart w:id="26" w:name="internal-direction"/>
    <w:p>
      <w:pPr>
        <w:pStyle w:val="Heading3"/>
      </w:pPr>
      <w:r>
        <w:t xml:space="preserve">6.5 Internal direction</w:t>
      </w:r>
    </w:p>
    <w:p>
      <w:pPr>
        <w:pStyle w:val="FirstParagraph"/>
      </w:pPr>
      <w:r>
        <w:t xml:space="preserve">The triangle △ in a corner zone indicates direction. The orientation of the apex relative to the north pole defines the vector.</w:t>
      </w:r>
    </w:p>
    <w:bookmarkEnd w:id="26"/>
    <w:bookmarkEnd w:id="27"/>
    <w:bookmarkStart w:id="28" w:name="jokers"/>
    <w:p>
      <w:pPr>
        <w:pStyle w:val="Heading2"/>
      </w:pPr>
      <w:r>
        <w:t xml:space="preserve">7. Jokers</w:t>
      </w:r>
    </w:p>
    <w:p>
      <w:pPr>
        <w:pStyle w:val="FirstParagraph"/>
      </w:pPr>
      <w:r>
        <w:t xml:space="preserve">Jokers receive the</w:t>
      </w:r>
      <w:r>
        <w:t xml:space="preserve"> </w:t>
      </w:r>
      <w:r>
        <w:rPr>
          <w:b/>
          <w:bCs/>
        </w:rPr>
        <w:t xml:space="preserve">SE dot</w:t>
      </w:r>
      <w:r>
        <w:t xml:space="preserve"> </w:t>
      </w:r>
      <w:r>
        <w:t xml:space="preserve">(north pole) on the front face and the</w:t>
      </w:r>
      <w:r>
        <w:t xml:space="preserve"> </w:t>
      </w:r>
      <w:r>
        <w:rPr>
          <w:b/>
          <w:bCs/>
        </w:rPr>
        <w:t xml:space="preserve">quadrant markers</w:t>
      </w:r>
      <w:r>
        <w:t xml:space="preserve"> </w:t>
      </w:r>
      <w:r>
        <w:t xml:space="preserve">on the back. No other structural elements: no connectivity markers, no primary glyph, no modifier.</w:t>
      </w:r>
    </w:p>
    <w:p>
      <w:pPr>
        <w:pStyle w:val="BodyText"/>
      </w:pPr>
      <w:r>
        <w:t xml:space="preserve">They are</w:t>
      </w:r>
      <w:r>
        <w:t xml:space="preserve"> </w:t>
      </w:r>
      <w:r>
        <w:rPr>
          <w:b/>
          <w:bCs/>
        </w:rPr>
        <w:t xml:space="preserve">uninstantiated variables</w:t>
      </w:r>
      <w:r>
        <w:t xml:space="preserve">: no pre-assigned semantics from the specification. The game decides everything. A game may use zero, one, or both Jokers.</w:t>
      </w:r>
    </w:p>
    <w:p>
      <w:pPr>
        <w:pStyle w:val="BodyText"/>
      </w:pPr>
      <w:r>
        <w:t xml:space="preserve">Possible uses (not prescribed): mechanical wildcard, event card, global state tracker, category Joker.</w:t>
      </w:r>
    </w:p>
    <w:bookmarkEnd w:id="28"/>
    <w:bookmarkStart w:id="31" w:name="usage-profiles"/>
    <w:p>
      <w:pPr>
        <w:pStyle w:val="Heading2"/>
      </w:pPr>
      <w:r>
        <w:t xml:space="preserve">8. Usage profiles</w:t>
      </w:r>
    </w:p>
    <w:bookmarkStart w:id="29" w:name="base-profile"/>
    <w:p>
      <w:pPr>
        <w:pStyle w:val="Heading3"/>
      </w:pPr>
      <w:r>
        <w:t xml:space="preserve">Base Profile</w:t>
      </w:r>
    </w:p>
    <w:p>
      <w:pPr>
        <w:pStyle w:val="FirstParagraph"/>
      </w:pPr>
      <w:r>
        <w:t xml:space="preserve">Pure card game, hand management, narrative, solo scenarios.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1 annotated deck (52 + 2) · 1 fine-tip black permanent marker · 1 fine-tip red permanent marker.</w:t>
      </w:r>
      <w:r>
        <w:br/>
      </w:r>
      <w:r>
        <w:t xml:space="preserve">Estimated annotation time: 15–20 minutes.</w:t>
      </w:r>
    </w:p>
    <w:bookmarkEnd w:id="29"/>
    <w:bookmarkStart w:id="30" w:name="extended-profile"/>
    <w:p>
      <w:pPr>
        <w:pStyle w:val="Heading3"/>
      </w:pPr>
      <w:r>
        <w:t xml:space="preserve">Extended Profile</w:t>
      </w:r>
    </w:p>
    <w:p>
      <w:pPr>
        <w:pStyle w:val="FirstParagraph"/>
      </w:pPr>
      <w:r>
        <w:t xml:space="preserve">Tactical grid game, dungeon crawler, skirmish, wargame.</w:t>
      </w:r>
    </w:p>
    <w:p>
      <w:pPr>
        <w:pStyle w:val="BodyText"/>
      </w:pPr>
      <w:r>
        <w:rPr>
          <w:b/>
          <w:bCs/>
        </w:rPr>
        <w:t xml:space="preserve">Additional components:</w:t>
      </w:r>
      <w:r>
        <w:t xml:space="preserve"> </w:t>
      </w:r>
      <w:r>
        <w:t xml:space="preserve">6 d6 dice · 12 tokens in 4 distinct groups (3 per group; replaceable with coins, cubes, or any distinguishable objects).</w:t>
      </w:r>
    </w:p>
    <w:p>
      <w:pPr>
        <w:pStyle w:val="BodyText"/>
      </w:pPr>
      <w:r>
        <w:t xml:space="preserve">Dice use: 2d6 for resolution, up to 4d6 as counters on a card. Token use: placed on cards to represent entities without covering annotations.</w:t>
      </w:r>
    </w:p>
    <w:bookmarkEnd w:id="30"/>
    <w:bookmarkEnd w:id="31"/>
    <w:bookmarkStart w:id="36" w:name="card-usage-modes"/>
    <w:p>
      <w:pPr>
        <w:pStyle w:val="Heading2"/>
      </w:pPr>
      <w:r>
        <w:t xml:space="preserve">9. Card usage modes</w:t>
      </w:r>
    </w:p>
    <w:bookmarkStart w:id="32" w:name="tile-mode"/>
    <w:p>
      <w:pPr>
        <w:pStyle w:val="Heading3"/>
      </w:pPr>
      <w:r>
        <w:t xml:space="preserve">9.1 Tile mode</w:t>
      </w:r>
    </w:p>
    <w:p>
      <w:pPr>
        <w:pStyle w:val="FirstParagraph"/>
      </w:pPr>
      <w:r>
        <w:t xml:space="preserve">Card face-up on the table, visible to all, fixed position. Spatial elements active.</w:t>
      </w:r>
    </w:p>
    <w:bookmarkEnd w:id="32"/>
    <w:bookmarkStart w:id="33" w:name="hand-mode"/>
    <w:p>
      <w:pPr>
        <w:pStyle w:val="Heading3"/>
      </w:pPr>
      <w:r>
        <w:t xml:space="preserve">9.2 Hand mode</w:t>
      </w:r>
    </w:p>
    <w:p>
      <w:pPr>
        <w:pStyle w:val="FirstParagraph"/>
      </w:pPr>
      <w:r>
        <w:t xml:space="preserve">Card in hand, hidden. Spatial elements generally inactive. Annotations must follow the symmetrical placement rule (section 5).</w:t>
      </w:r>
    </w:p>
    <w:bookmarkEnd w:id="33"/>
    <w:bookmarkStart w:id="34" w:name="hand-tile-transition"/>
    <w:p>
      <w:pPr>
        <w:pStyle w:val="Heading3"/>
      </w:pPr>
      <w:r>
        <w:t xml:space="preserve">9.3 Hand → tile transition</w:t>
      </w:r>
    </w:p>
    <w:p>
      <w:pPr>
        <w:pStyle w:val="FirstParagraph"/>
      </w:pPr>
      <w:r>
        <w:t xml:space="preserve">The game must specify:</w:t>
      </w:r>
    </w:p>
    <w:p>
      <w:pPr>
        <w:pStyle w:val="Compact"/>
        <w:numPr>
          <w:ilvl w:val="0"/>
          <w:numId w:val="1006"/>
        </w:numPr>
      </w:pPr>
      <w:r>
        <w:t xml:space="preserve">Whether the card is placed face-down or face-up</w:t>
      </w:r>
    </w:p>
    <w:p>
      <w:pPr>
        <w:pStyle w:val="Compact"/>
        <w:numPr>
          <w:ilvl w:val="0"/>
          <w:numId w:val="1006"/>
        </w:numPr>
      </w:pPr>
      <w:r>
        <w:t xml:space="preserve">Whether orientation (north pole) is chosen by the player or fixed</w:t>
      </w:r>
    </w:p>
    <w:p>
      <w:pPr>
        <w:pStyle w:val="Compact"/>
        <w:numPr>
          <w:ilvl w:val="0"/>
          <w:numId w:val="1006"/>
        </w:numPr>
      </w:pPr>
      <w:r>
        <w:t xml:space="preserve">Whether spatial annotations become active immediately or at a later point</w:t>
      </w:r>
    </w:p>
    <w:bookmarkEnd w:id="34"/>
    <w:bookmarkStart w:id="35" w:name="annotation"/>
    <w:p>
      <w:pPr>
        <w:pStyle w:val="Heading3"/>
      </w:pPr>
      <w:r>
        <w:t xml:space="preserve">9.4 Annotation</w:t>
      </w:r>
    </w:p>
    <w:p>
      <w:pPr>
        <w:pStyle w:val="FirstParagraph"/>
      </w:pPr>
      <w:r>
        <w:t xml:space="preserve">The DECK# deck is fully annotated once, following the annotation matrix (section 13), and used across multiple sessions without modification. Structural annotation is permanent.</w:t>
      </w:r>
    </w:p>
    <w:p>
      <w:pPr>
        <w:pStyle w:val="BodyText"/>
      </w:pPr>
      <w:r>
        <w:t xml:space="preserve">No in-game annotation is intended for the structural layer. Variable game states are tracked exclusively with removable physical tokens (dice, tokens, coins).</w:t>
      </w:r>
    </w:p>
    <w:bookmarkEnd w:id="35"/>
    <w:bookmarkEnd w:id="36"/>
    <w:bookmarkStart w:id="37" w:name="physical-hierarchy"/>
    <w:p>
      <w:pPr>
        <w:pStyle w:val="Heading2"/>
      </w:pPr>
      <w:r>
        <w:t xml:space="preserve">10. Physical hierarchy</w:t>
      </w:r>
    </w:p>
    <w:p>
      <w:pPr>
        <w:pStyle w:val="FirstParagraph"/>
      </w:pPr>
      <w:r>
        <w:t xml:space="preserve">The 52 standard cards have annotations on both faces. Jokers have annotations on the back and only the SE dot on the front face.</w:t>
      </w:r>
    </w:p>
    <w:p>
      <w:pPr>
        <w:pStyle w:val="BodyText"/>
      </w:pPr>
      <w:r>
        <w:rPr>
          <w:b/>
          <w:bCs/>
        </w:rPr>
        <w:t xml:space="preserve">Front face (52 standard cards):</w:t>
      </w:r>
    </w:p>
    <w:p>
      <w:pPr>
        <w:pStyle w:val="Compact"/>
        <w:numPr>
          <w:ilvl w:val="0"/>
          <w:numId w:val="1007"/>
        </w:numPr>
      </w:pPr>
      <w:r>
        <w:t xml:space="preserve">Inherited substrate (original printing): always visible, never intentionally covered</w:t>
      </w:r>
    </w:p>
    <w:p>
      <w:pPr>
        <w:pStyle w:val="Compact"/>
        <w:numPr>
          <w:ilvl w:val="0"/>
          <w:numId w:val="1007"/>
        </w:numPr>
      </w:pPr>
      <w:r>
        <w:t xml:space="preserve">DECK# structural annotation: connectivity on physical edges, primary glyph in S/N zone, modifier in NE/SW zone, north pole dot in SE</w:t>
      </w:r>
    </w:p>
    <w:p>
      <w:pPr>
        <w:pStyle w:val="Compact"/>
        <w:numPr>
          <w:ilvl w:val="0"/>
          <w:numId w:val="1007"/>
        </w:numPr>
      </w:pPr>
      <w:r>
        <w:t xml:space="preserve">Physical tokens: objects placed on the card, removable</w:t>
      </w:r>
    </w:p>
    <w:p>
      <w:pPr>
        <w:pStyle w:val="FirstParagraph"/>
      </w:pPr>
      <w:r>
        <w:rPr>
          <w:b/>
          <w:bCs/>
        </w:rPr>
        <w:t xml:space="preserve">Back (all 54 cards):</w:t>
      </w:r>
    </w:p>
    <w:p>
      <w:pPr>
        <w:pStyle w:val="Compact"/>
        <w:numPr>
          <w:ilvl w:val="0"/>
          <w:numId w:val="1008"/>
        </w:numPr>
      </w:pPr>
      <w:r>
        <w:t xml:space="preserve">Quadrant markers (minimal or extended variant) — identical on all cards</w:t>
      </w:r>
    </w:p>
    <w:p>
      <w:pPr>
        <w:pStyle w:val="FirstParagraph"/>
      </w:pPr>
      <w:r>
        <w:t xml:space="preserve">Structural annotation is fixed and complete. No zone on the front face holds more than one DECK# glyph at a time.</w:t>
      </w:r>
    </w:p>
    <w:bookmarkEnd w:id="37"/>
    <w:bookmarkStart w:id="38" w:name="designer-responsibilities"/>
    <w:p>
      <w:pPr>
        <w:pStyle w:val="Heading2"/>
      </w:pPr>
      <w:r>
        <w:t xml:space="preserve">11. Designer responsibilities</w:t>
      </w:r>
    </w:p>
    <w:p>
      <w:pPr>
        <w:pStyle w:val="FirstParagraph"/>
      </w:pPr>
      <w:r>
        <w:t xml:space="preserve">Every game built on DECK# must specify:</w:t>
      </w:r>
    </w:p>
    <w:p>
      <w:pPr>
        <w:pStyle w:val="Compact"/>
        <w:numPr>
          <w:ilvl w:val="0"/>
          <w:numId w:val="1009"/>
        </w:numPr>
      </w:pPr>
      <w:r>
        <w:t xml:space="preserve">How it maps the three inherited axes (rank, color, suit) to game concepts</w:t>
      </w:r>
    </w:p>
    <w:p>
      <w:pPr>
        <w:pStyle w:val="Compact"/>
        <w:numPr>
          <w:ilvl w:val="0"/>
          <w:numId w:val="1009"/>
        </w:numPr>
      </w:pPr>
      <w:r>
        <w:t xml:space="preserve">What semantics it assigns to the DECK# vocabulary glyphs (primary and modifier)</w:t>
      </w:r>
    </w:p>
    <w:p>
      <w:pPr>
        <w:pStyle w:val="Compact"/>
        <w:numPr>
          <w:ilvl w:val="0"/>
          <w:numId w:val="1009"/>
        </w:numPr>
      </w:pPr>
      <w:r>
        <w:t xml:space="preserve">How it interprets the spatial system: orientation, north pole, connectivity</w:t>
      </w:r>
    </w:p>
    <w:p>
      <w:pPr>
        <w:pStyle w:val="Compact"/>
        <w:numPr>
          <w:ilvl w:val="0"/>
          <w:numId w:val="1009"/>
        </w:numPr>
      </w:pPr>
      <w:r>
        <w:t xml:space="preserve">How it interprets the quadrant markers (present on all cards)</w:t>
      </w:r>
    </w:p>
    <w:p>
      <w:pPr>
        <w:pStyle w:val="Compact"/>
        <w:numPr>
          <w:ilvl w:val="0"/>
          <w:numId w:val="1009"/>
        </w:numPr>
      </w:pPr>
      <w:r>
        <w:t xml:space="preserve">Whether it uses Jokers and with what role</w:t>
      </w:r>
    </w:p>
    <w:p>
      <w:pPr>
        <w:pStyle w:val="Compact"/>
        <w:numPr>
          <w:ilvl w:val="0"/>
          <w:numId w:val="1009"/>
        </w:numPr>
      </w:pPr>
      <w:r>
        <w:t xml:space="preserve">Which profile is required (Base or Extended)</w:t>
      </w:r>
    </w:p>
    <w:p>
      <w:pPr>
        <w:pStyle w:val="Compact"/>
        <w:numPr>
          <w:ilvl w:val="0"/>
          <w:numId w:val="1009"/>
        </w:numPr>
      </w:pPr>
      <w:r>
        <w:t xml:space="preserve">What usage mode is intended and the hand → tile transition rules</w:t>
      </w:r>
    </w:p>
    <w:bookmarkEnd w:id="38"/>
    <w:bookmarkStart w:id="40" w:name="license"/>
    <w:p>
      <w:pPr>
        <w:pStyle w:val="Heading2"/>
      </w:pPr>
      <w:r>
        <w:t xml:space="preserve">12. License</w:t>
      </w:r>
    </w:p>
    <w:p>
      <w:pPr>
        <w:pStyle w:val="FirstParagraph"/>
      </w:pPr>
      <w:r>
        <w:t xml:space="preserve">DECK# is released under</w:t>
      </w:r>
      <w:r>
        <w:t xml:space="preserve"> </w:t>
      </w:r>
      <w:r>
        <w:rPr>
          <w:b/>
          <w:bCs/>
        </w:rPr>
        <w:t xml:space="preserve">Creative Commons Attribution 4.0 International (CC BY 4.0)</w:t>
      </w:r>
      <w:r>
        <w:t xml:space="preserve">.</w:t>
      </w:r>
    </w:p>
    <w:p>
      <w:pPr>
        <w:pStyle w:val="BodyText"/>
      </w:pPr>
      <w:r>
        <w:t xml:space="preserve">Anyone may use, modify, and distribute the specification and games built on it, including for commercial purposes, provided the original source is credited. Games built on DECK# are not required to release their own rulesets under the same license.</w:t>
      </w:r>
    </w:p>
    <w:p>
      <w:pPr>
        <w:pStyle w:val="BodyText"/>
      </w:pPr>
      <w:r>
        <w:t xml:space="preserve">© Roberto Bisceglie —</w:t>
      </w:r>
      <w:r>
        <w:t xml:space="preserve"> </w:t>
      </w:r>
      <w:hyperlink r:id="rId39">
        <w:r>
          <w:rPr>
            <w:rStyle w:val="Hyperlink"/>
          </w:rPr>
          <w:t xml:space="preserve">CC BY 4.0</w:t>
        </w:r>
      </w:hyperlink>
    </w:p>
    <w:bookmarkEnd w:id="40"/>
    <w:bookmarkStart w:id="41" w:name="annotation-matrix"/>
    <w:p>
      <w:pPr>
        <w:pStyle w:val="Heading2"/>
      </w:pPr>
      <w:r>
        <w:t xml:space="preserve">13. Annotation matrix</w:t>
      </w:r>
    </w:p>
    <w:p>
      <w:pPr>
        <w:pStyle w:val="FirstParagraph"/>
      </w:pPr>
      <w:r>
        <w:t xml:space="preserve">The matrix defines the fixed structural annotations for all 54 cards. Each card receives: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Connectivity:</w:t>
      </w:r>
      <w:r>
        <w:t xml:space="preserve"> </w:t>
      </w:r>
      <w:r>
        <w:t xml:space="preserve">open edges (others receive a wall marker). Notation: N/S/E/W separated by</w:t>
      </w:r>
      <w:r>
        <w:t xml:space="preserve"> </w:t>
      </w:r>
      <w:r>
        <w:rPr>
          <w:rStyle w:val="VerbatimChar"/>
        </w:rPr>
        <w:t xml:space="preserve">+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glyph in S zone (and mirror in N zone for hand mode).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Modifier:</w:t>
      </w:r>
      <w:r>
        <w:t xml:space="preserve"> </w:t>
      </w:r>
      <w:r>
        <w:t xml:space="preserve">glyph in NE corner (and mirror in SW corner for hand mode).</w:t>
      </w:r>
    </w:p>
    <w:p>
      <w:pPr>
        <w:pStyle w:val="FirstParagraph"/>
      </w:pPr>
      <w:r>
        <w:t xml:space="preserve">All 52 standard cards also receive: SE dot (north pole) and quadrant markers.</w:t>
      </w:r>
      <w:r>
        <w:br/>
      </w:r>
      <w:r>
        <w:t xml:space="preserve">Jokers receive the SE dot on the front face and quadrant markers on the back.</w:t>
      </w:r>
    </w:p>
    <w:p>
      <w:pPr>
        <w:pStyle w:val="BodyText"/>
      </w:pPr>
      <w:r>
        <w:t xml:space="preserve">The distribution is an authored design artifact, orthogonal to rank/suit/color by deliberate construction. Glyph color is not included as a column — it is entirely derived from suit according to the contrasting rule (section 4.3): black glyphs on ♥/♦, red glyphs on ♣/♠.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Suit</w:t>
            </w:r>
          </w:p>
        </w:tc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Modifier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S+W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S+W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♥</w:t>
            </w:r>
          </w:p>
        </w:tc>
        <w:tc>
          <w:tcPr/>
          <w:p>
            <w:pPr>
              <w:pStyle w:val="Compact"/>
            </w:pPr>
            <w:r>
              <w:t xml:space="preserve">N+E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N+E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S+E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♦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E+W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S+E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♣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N+E+W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S+E+W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N+S+W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♠</w:t>
            </w:r>
          </w:p>
        </w:tc>
        <w:tc>
          <w:tcPr/>
          <w:p>
            <w:pPr>
              <w:pStyle w:val="Compact"/>
            </w:pPr>
            <w:r>
              <w:t xml:space="preserve">N+S+E+W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DECK#</w:t>
      </w:r>
    </w:p>
    <w:p>
      <w:pPr>
        <w:pStyle w:val="BodyText"/>
      </w:pPr>
      <w:r>
        <w:t xml:space="preserve">© 2026 Roberto Bisceglie</w:t>
      </w:r>
    </w:p>
    <w:p>
      <w:pPr>
        <w:pStyle w:val="BodyText"/>
      </w:pPr>
      <w:r>
        <w:t xml:space="preserve">This work is licensed under Creative Commons Attribution-ShareAlike 4.0 International. To view a copy of this license, visit https://creativecommons.org/licenses/by-sa/4.0/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creativecommons.org/licenses/by/4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reativecommons.org/licenses/by/4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DECK# Specification</dc:title>
  <dc:creator>Roberto Bisceglie</dc:creator>
  <dc:language>en</dc:language>
  <cp:keywords/>
  <dcterms:created xsi:type="dcterms:W3CDTF">2026-07-01T07:45:48Z</dcterms:created>
  <dcterms:modified xsi:type="dcterms:W3CDTF">2026-07-01T07:45:48Z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rand">
    <vt:lpwstr>../../_brand.yml</vt:lpwstr>
  </property>
  <property fmtid="{D5CDD505-2E9C-101B-9397-08002B2CF9AE}" pid="5" name="by-author">
    <vt:lpwstr/>
  </property>
  <property fmtid="{D5CDD505-2E9C-101B-9397-08002B2CF9AE}" pid="6" name="cover-logo">
    <vt:lpwstr>../assets/logo.svg</vt:lpwstr>
  </property>
  <property fmtid="{D5CDD505-2E9C-101B-9397-08002B2CF9AE}" pid="7" name="date">
    <vt:lpwstr>2026-07-01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Layered annotation system for standard playing card deck</vt:lpwstr>
  </property>
  <property fmtid="{D5CDD505-2E9C-101B-9397-08002B2CF9AE}" pid="14" name="toc-title">
    <vt:lpwstr>Table of contents</vt:lpwstr>
  </property>
  <property fmtid="{D5CDD505-2E9C-101B-9397-08002B2CF9AE}" pid="15" name="version">
    <vt:lpwstr>1</vt:lpwstr>
  </property>
</Properties>
</file>