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Guida all’Annotazione DECK#</w:t>
      </w:r>
    </w:p>
    <w:p>
      <w:pPr>
        <w:pStyle w:val="Subtitle"/>
      </w:pPr>
      <w:r>
        <w:t xml:space="preserve">Come preparare fisicamente il tuo mazzo DECK#</w:t>
      </w:r>
    </w:p>
    <w:p>
      <w:pPr>
        <w:pStyle w:val="Author"/>
      </w:pPr>
      <w:r>
        <w:t xml:space="preserve">Roberto Bisceglie</w:t>
      </w:r>
    </w:p>
    <w:p>
      <w:pPr>
        <w:pStyle w:val="Date"/>
      </w:pPr>
      <w:r>
        <w:t xml:space="preserve">2026-06-30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version: 0.1.0 · status: draft</w:t>
      </w:r>
    </w:p>
    <w:p>
      <w:r>
        <w:pict>
          <v:rect style="width:0;height:1.5pt" o:hralign="center" o:hrstd="t" o:hr="t"/>
        </w:pict>
      </w:r>
    </w:p>
    <w:bookmarkStart w:id="9" w:name="cosa-serve"/>
    <w:p>
      <w:pPr>
        <w:pStyle w:val="Heading2"/>
      </w:pPr>
      <w:r>
        <w:t xml:space="preserve">Cosa serve</w:t>
      </w:r>
    </w:p>
    <w:p>
      <w:pPr>
        <w:pStyle w:val="Compact"/>
        <w:numPr>
          <w:ilvl w:val="0"/>
          <w:numId w:val="1001"/>
        </w:numPr>
      </w:pPr>
      <w:r>
        <w:t xml:space="preserve">Un mazzo di carte francesi standard (52 carte + 2 Jolly)</w:t>
      </w:r>
    </w:p>
    <w:p>
      <w:pPr>
        <w:pStyle w:val="Compact"/>
        <w:numPr>
          <w:ilvl w:val="0"/>
          <w:numId w:val="1001"/>
        </w:numPr>
      </w:pPr>
      <w:r>
        <w:t xml:space="preserve">Un pennarello permanente nero a punta fine</w:t>
      </w:r>
    </w:p>
    <w:p>
      <w:pPr>
        <w:pStyle w:val="Compact"/>
        <w:numPr>
          <w:ilvl w:val="0"/>
          <w:numId w:val="1001"/>
        </w:numPr>
      </w:pPr>
      <w:r>
        <w:t xml:space="preserve">Un pennarello permanente rosso a punta fine</w:t>
      </w:r>
    </w:p>
    <w:p>
      <w:pPr>
        <w:pStyle w:val="Compact"/>
        <w:numPr>
          <w:ilvl w:val="0"/>
          <w:numId w:val="1001"/>
        </w:numPr>
      </w:pPr>
      <w:r>
        <w:t xml:space="preserve">La matrice di annotazione (sezione 13 della specifica, o il file</w:t>
      </w:r>
      <w:r>
        <w:t xml:space="preserve"> </w:t>
      </w:r>
      <w:r>
        <w:rPr>
          <w:rStyle w:val="VerbatimChar"/>
        </w:rPr>
        <w:t xml:space="preserve">decksharp_matrix.csv</w:t>
      </w:r>
      <w:r>
        <w:t xml:space="preserve">)</w:t>
      </w:r>
    </w:p>
    <w:p>
      <w:pPr>
        <w:pStyle w:val="FirstParagraph"/>
      </w:pPr>
      <w:r>
        <w:t xml:space="preserve">Tempo stimato: 15–20 minuti.</w:t>
      </w:r>
    </w:p>
    <w:p>
      <w:r>
        <w:pict>
          <v:rect style="width:0;height:1.5pt" o:hralign="center" o:hrstd="t" o:hr="t"/>
        </w:pict>
      </w:r>
    </w:p>
    <w:bookmarkEnd w:id="9"/>
    <w:bookmarkStart w:id="10" w:name="prima-di-iniziare"/>
    <w:p>
      <w:pPr>
        <w:pStyle w:val="Heading2"/>
      </w:pPr>
      <w:r>
        <w:t xml:space="preserve">Prima di iniziare</w:t>
      </w:r>
    </w:p>
    <w:p>
      <w:pPr>
        <w:pStyle w:val="FirstParagraph"/>
      </w:pPr>
      <w:r>
        <w:t xml:space="preserve">Il mazzo DECK# si annota</w:t>
      </w:r>
      <w:r>
        <w:t xml:space="preserve"> </w:t>
      </w:r>
      <w:r>
        <w:rPr>
          <w:b/>
          <w:bCs/>
        </w:rPr>
        <w:t xml:space="preserve">una volta sola</w:t>
      </w:r>
      <w:r>
        <w:t xml:space="preserve">, prima di qualsiasi partita. Le annotazioni sono permanenti. Non ci sono annotazioni da fare durante il gioco: gli stati variabili si gestiscono con token fisici (dadi, segnalini, monete).</w:t>
      </w:r>
    </w:p>
    <w:p>
      <w:pPr>
        <w:pStyle w:val="BodyText"/>
      </w:pPr>
      <w:r>
        <w:t xml:space="preserve">Ogni carta riceve quattro tipi di annotazione, in zone distinte: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Annotazione</w:t>
            </w:r>
          </w:p>
        </w:tc>
        <w:tc>
          <w:tcPr/>
          <w:p>
            <w:pPr>
              <w:pStyle w:val="Compact"/>
            </w:pPr>
            <w:r>
              <w:t xml:space="preserve">Zona</w:t>
            </w:r>
          </w:p>
        </w:tc>
        <w:tc>
          <w:tcPr/>
          <w:p>
            <w:pPr>
              <w:pStyle w:val="Compact"/>
            </w:pPr>
            <w:r>
              <w:t xml:space="preserve">Strumento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Marcatori di quadrante</w:t>
            </w:r>
          </w:p>
        </w:tc>
        <w:tc>
          <w:tcPr/>
          <w:p>
            <w:pPr>
              <w:pStyle w:val="Compact"/>
            </w:pPr>
            <w:r>
              <w:t xml:space="preserve">Dorso</w:t>
            </w:r>
          </w:p>
        </w:tc>
        <w:tc>
          <w:tcPr/>
          <w:p>
            <w:pPr>
              <w:pStyle w:val="Compact"/>
            </w:pPr>
            <w:r>
              <w:t xml:space="preserve">Pennarello nero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Marcatori di connettività</w:t>
            </w:r>
          </w:p>
        </w:tc>
        <w:tc>
          <w:tcPr/>
          <w:p>
            <w:pPr>
              <w:pStyle w:val="Compact"/>
            </w:pPr>
            <w:r>
              <w:t xml:space="preserve">Bordi fisici (recto)</w:t>
            </w:r>
          </w:p>
        </w:tc>
        <w:tc>
          <w:tcPr/>
          <w:p>
            <w:pPr>
              <w:pStyle w:val="Compact"/>
            </w:pPr>
            <w:r>
              <w:t xml:space="preserve">Pennarello nero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di orientamento (polo nord)</w:t>
            </w:r>
          </w:p>
        </w:tc>
        <w:tc>
          <w:tcPr/>
          <w:p>
            <w:pPr>
              <w:pStyle w:val="Compact"/>
            </w:pPr>
            <w:r>
              <w:t xml:space="preserve">Angolo SE (recto)</w:t>
            </w:r>
          </w:p>
        </w:tc>
        <w:tc>
          <w:tcPr/>
          <w:p>
            <w:pPr>
              <w:pStyle w:val="Compact"/>
            </w:pPr>
            <w:r>
              <w:t xml:space="preserve">Pennarello nero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Glifo primario + modificatore</w:t>
            </w:r>
          </w:p>
        </w:tc>
        <w:tc>
          <w:tcPr/>
          <w:p>
            <w:pPr>
              <w:pStyle w:val="Compact"/>
            </w:pPr>
            <w:r>
              <w:t xml:space="preserve">Zone S/N e NE/SW (recto)</w:t>
            </w:r>
          </w:p>
        </w:tc>
        <w:tc>
          <w:tcPr/>
          <w:p>
            <w:pPr>
              <w:pStyle w:val="Compact"/>
            </w:pPr>
            <w:r>
              <w:t xml:space="preserve">Nero o rosso (vedi sotto)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Regola cromatica:</w:t>
      </w:r>
      <w:r>
        <w:t xml:space="preserve"> </w:t>
      </w:r>
      <w:r>
        <w:t xml:space="preserve">il colore del glifo è sempre contrastante rispetto al seme della carta.</w:t>
      </w:r>
      <w:r>
        <w:t xml:space="preserve"> </w:t>
      </w:r>
      <w:r>
        <w:t xml:space="preserve">- Carte rosse (♥ ♦) → glifi in</w:t>
      </w:r>
      <w:r>
        <w:t xml:space="preserve"> </w:t>
      </w:r>
      <w:r>
        <w:rPr>
          <w:b/>
          <w:bCs/>
        </w:rPr>
        <w:t xml:space="preserve">nero</w:t>
      </w:r>
      <w:r>
        <w:t xml:space="preserve"> </w:t>
      </w:r>
      <w:r>
        <w:t xml:space="preserve">- Carte nere (♣ ♠) → glifi in</w:t>
      </w:r>
      <w:r>
        <w:t xml:space="preserve"> </w:t>
      </w:r>
      <w:r>
        <w:rPr>
          <w:b/>
          <w:bCs/>
        </w:rPr>
        <w:t xml:space="preserve">rosso</w:t>
      </w:r>
    </w:p>
    <w:p>
      <w:pPr>
        <w:pStyle w:val="BodyText"/>
      </w:pPr>
      <w:r>
        <w:t xml:space="preserve">Il colore del glifo non è una scelta: si ricava automaticamente dal seme.</w:t>
      </w:r>
    </w:p>
    <w:p>
      <w:r>
        <w:pict>
          <v:rect style="width:0;height:1.5pt" o:hralign="center" o:hrstd="t" o:hr="t"/>
        </w:pict>
      </w:r>
    </w:p>
    <w:bookmarkEnd w:id="10"/>
    <w:bookmarkStart w:id="11" w:name="preparazione-divisione-del-mazzo"/>
    <w:p>
      <w:pPr>
        <w:pStyle w:val="Heading2"/>
      </w:pPr>
      <w:r>
        <w:t xml:space="preserve">Preparazione: divisione del mazzo</w:t>
      </w:r>
    </w:p>
    <w:p>
      <w:pPr>
        <w:pStyle w:val="FirstParagraph"/>
      </w:pPr>
      <w:r>
        <w:t xml:space="preserve">Separa il mazzo in tre gruppi: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Carte rosse</w:t>
      </w:r>
      <w:r>
        <w:t xml:space="preserve"> </w:t>
      </w:r>
      <w:r>
        <w:t xml:space="preserve">(♥ ♦) — 26 carte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Carte nere</w:t>
      </w:r>
      <w:r>
        <w:t xml:space="preserve"> </w:t>
      </w:r>
      <w:r>
        <w:t xml:space="preserve">(♣ ♠) — 26 carte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Jolly</w:t>
      </w:r>
      <w:r>
        <w:t xml:space="preserve"> </w:t>
      </w:r>
      <w:r>
        <w:t xml:space="preserve">— 2 carte, messe da parte</w:t>
      </w:r>
    </w:p>
    <w:p>
      <w:pPr>
        <w:pStyle w:val="FirstParagraph"/>
      </w:pPr>
      <w:r>
        <w:t xml:space="preserve">Lavora prima sulle</w:t>
      </w:r>
      <w:r>
        <w:t xml:space="preserve"> </w:t>
      </w:r>
      <w:r>
        <w:rPr>
          <w:b/>
          <w:bCs/>
        </w:rPr>
        <w:t xml:space="preserve">carte rosse</w:t>
      </w:r>
      <w:r>
        <w:t xml:space="preserve">: richiedono solo il pennarello nero per l’intera annotazione. Procedi poi con le</w:t>
      </w:r>
      <w:r>
        <w:t xml:space="preserve"> </w:t>
      </w:r>
      <w:r>
        <w:rPr>
          <w:b/>
          <w:bCs/>
        </w:rPr>
        <w:t xml:space="preserve">carte nere</w:t>
      </w:r>
      <w:r>
        <w:t xml:space="preserve">: richiedono il cambio di strumento solo nell’ultima fase (glifi in rosso). Affronta i</w:t>
      </w:r>
      <w:r>
        <w:t xml:space="preserve"> </w:t>
      </w:r>
      <w:r>
        <w:rPr>
          <w:b/>
          <w:bCs/>
        </w:rPr>
        <w:t xml:space="preserve">Jolly</w:t>
      </w:r>
      <w:r>
        <w:t xml:space="preserve"> </w:t>
      </w:r>
      <w:r>
        <w:t xml:space="preserve">alla fine — hanno un’annotazione minima e separata.</w:t>
      </w:r>
    </w:p>
    <w:p>
      <w:r>
        <w:pict>
          <v:rect style="width:0;height:1.5pt" o:hralign="center" o:hrstd="t" o:hr="t"/>
        </w:pict>
      </w:r>
    </w:p>
    <w:bookmarkEnd w:id="11"/>
    <w:bookmarkStart w:id="12" w:name="fase-1-marcatori-di-quadrante-dorso"/>
    <w:p>
      <w:pPr>
        <w:pStyle w:val="Heading2"/>
      </w:pPr>
      <w:r>
        <w:t xml:space="preserve">Fase 1 — Marcatori di quadrante (dorso)</w:t>
      </w:r>
    </w:p>
    <w:p>
      <w:pPr>
        <w:pStyle w:val="FirstParagraph"/>
      </w:pPr>
      <w:r>
        <w:rPr>
          <w:b/>
          <w:bCs/>
        </w:rPr>
        <w:t xml:space="preserve">Strumento:</w:t>
      </w:r>
      <w:r>
        <w:t xml:space="preserve"> </w:t>
      </w:r>
      <w:r>
        <w:t xml:space="preserve">pennarello nero.</w:t>
      </w:r>
    </w:p>
    <w:p>
      <w:pPr>
        <w:pStyle w:val="BodyText"/>
      </w:pPr>
      <w:r>
        <w:t xml:space="preserve">Con le carte orientate sul dorso, traccia i marcatori di quadrante su tutte le 54 carte (rosse + nere + Jolly).</w:t>
      </w:r>
    </w:p>
    <w:p>
      <w:pPr>
        <w:pStyle w:val="BodyText"/>
      </w:pPr>
      <w:r>
        <w:t xml:space="preserve">I marcatori di quadrante sono identici su tutte le carte e indicano al giocatore il centro e i lati della carta quando è posata coperta sul tavolo. Scegli una delle due varianti e mantienila per tutto il mazzo:</w:t>
      </w:r>
    </w:p>
    <w:p>
      <w:pPr>
        <w:pStyle w:val="BodyText"/>
      </w:pPr>
      <w:r>
        <w:rPr>
          <w:b/>
          <w:bCs/>
        </w:rPr>
        <w:t xml:space="preserve">Variante minima</w:t>
      </w:r>
      <w:r>
        <w:t xml:space="preserve"> </w:t>
      </w:r>
      <w:r>
        <w:t xml:space="preserve">— quattro segmenti corti che partono dal punto medio di ciascun bordo verso il centro, senza attraversarlo:</w:t>
      </w:r>
    </w:p>
    <w:p>
      <w:pPr>
        <w:pStyle w:val="SourceCode"/>
      </w:pP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—     —</w:t>
      </w:r>
      <w:r>
        <w:br/>
      </w:r>
      <w:r>
        <w:rPr>
          <w:rStyle w:val="VerbatimChar"/>
        </w:rPr>
        <w:t xml:space="preserve">      |</w:t>
      </w:r>
    </w:p>
    <w:p>
      <w:pPr>
        <w:pStyle w:val="FirstParagraph"/>
      </w:pPr>
      <w:r>
        <w:rPr>
          <w:b/>
          <w:bCs/>
        </w:rPr>
        <w:t xml:space="preserve">Variante estesa</w:t>
      </w:r>
      <w:r>
        <w:t xml:space="preserve"> </w:t>
      </w:r>
      <w:r>
        <w:t xml:space="preserve">— croce completa da bordo a bordo:</w:t>
      </w:r>
    </w:p>
    <w:p>
      <w:pPr>
        <w:pStyle w:val="SourceCode"/>
      </w:pP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————+————</w:t>
      </w:r>
      <w:r>
        <w:br/>
      </w:r>
      <w:r>
        <w:rPr>
          <w:rStyle w:val="VerbatimChar"/>
        </w:rPr>
        <w:t xml:space="preserve">      |</w:t>
      </w:r>
    </w:p>
    <w:p>
      <w:pPr>
        <w:pStyle w:val="FirstParagraph"/>
      </w:pPr>
      <w:r>
        <w:t xml:space="preserve">Lascia asciugare l’inchiostro prima di girare le carte.</w:t>
      </w:r>
    </w:p>
    <w:p>
      <w:r>
        <w:pict>
          <v:rect style="width:0;height:1.5pt" o:hralign="center" o:hrstd="t" o:hr="t"/>
        </w:pict>
      </w:r>
    </w:p>
    <w:bookmarkEnd w:id="12"/>
    <w:bookmarkStart w:id="13" w:name="fase-2-marcatori-di-connettività-bordi"/>
    <w:p>
      <w:pPr>
        <w:pStyle w:val="Heading2"/>
      </w:pPr>
      <w:r>
        <w:t xml:space="preserve">Fase 2 — Marcatori di connettività (bordi)</w:t>
      </w:r>
    </w:p>
    <w:p>
      <w:pPr>
        <w:pStyle w:val="FirstParagraph"/>
      </w:pPr>
      <w:r>
        <w:rPr>
          <w:b/>
          <w:bCs/>
        </w:rPr>
        <w:t xml:space="preserve">Strumento:</w:t>
      </w:r>
      <w:r>
        <w:t xml:space="preserve"> </w:t>
      </w:r>
      <w:r>
        <w:t xml:space="preserve">pennarello nero.</w:t>
      </w:r>
    </w:p>
    <w:p>
      <w:pPr>
        <w:pStyle w:val="BodyText"/>
      </w:pPr>
      <w:r>
        <w:t xml:space="preserve">Consulta la matrice di annotazione. Per ogni carta, la colonna</w:t>
      </w:r>
      <w:r>
        <w:t xml:space="preserve"> </w:t>
      </w:r>
      <w:r>
        <w:rPr>
          <w:b/>
          <w:bCs/>
        </w:rPr>
        <w:t xml:space="preserve">Connettività</w:t>
      </w:r>
      <w:r>
        <w:t xml:space="preserve"> </w:t>
      </w:r>
      <w:r>
        <w:t xml:space="preserve">indica quali bordi sono</w:t>
      </w:r>
      <w:r>
        <w:t xml:space="preserve"> </w:t>
      </w:r>
      <w:r>
        <w:rPr>
          <w:b/>
          <w:bCs/>
        </w:rPr>
        <w:t xml:space="preserve">aperti</w:t>
      </w:r>
      <w:r>
        <w:t xml:space="preserve"> </w:t>
      </w:r>
      <w:r>
        <w:t xml:space="preserve">(connessi). I bordi non elencati ricevono un</w:t>
      </w:r>
      <w:r>
        <w:t xml:space="preserve"> </w:t>
      </w:r>
      <w:r>
        <w:rPr>
          <w:b/>
          <w:bCs/>
        </w:rPr>
        <w:t xml:space="preserve">marcatore di muro</w:t>
      </w:r>
      <w:r>
        <w:t xml:space="preserve">: una linea spessa tracciata lungo il margine bianco esterno della carta (~3–4 mm), sul recto.</w:t>
      </w:r>
    </w:p>
    <w:p>
      <w:pPr>
        <w:pStyle w:val="BodyText"/>
      </w:pPr>
      <w:r>
        <w:rPr>
          <w:b/>
          <w:bCs/>
        </w:rPr>
        <w:t xml:space="preserve">Esempio:</w:t>
      </w:r>
      <w:r>
        <w:t xml:space="preserve"> </w:t>
      </w:r>
      <w:r>
        <w:t xml:space="preserve">se la matrice indica</w:t>
      </w:r>
      <w:r>
        <w:t xml:space="preserve"> </w:t>
      </w:r>
      <w:r>
        <w:rPr>
          <w:rStyle w:val="VerbatimChar"/>
        </w:rPr>
        <w:t xml:space="preserve">N+W</w:t>
      </w:r>
      <w:r>
        <w:t xml:space="preserve">, i bordi Nord e Ovest sono aperti — non si toccano. I bordi Sud ed Est ricevono il marcatore di muro.</w:t>
      </w:r>
    </w:p>
    <w:p>
      <w:pPr>
        <w:pStyle w:val="BodyText"/>
      </w:pPr>
      <w:r>
        <w:t xml:space="preserve">Lascia qualche secondo di asciugatura tra una carta e l’altra prima di sovrapporle.</w:t>
      </w:r>
    </w:p>
    <w:p>
      <w:r>
        <w:pict>
          <v:rect style="width:0;height:1.5pt" o:hralign="center" o:hrstd="t" o:hr="t"/>
        </w:pict>
      </w:r>
    </w:p>
    <w:bookmarkEnd w:id="13"/>
    <w:bookmarkStart w:id="14" w:name="fase-3-punto-di-orientamento-polo-nord"/>
    <w:p>
      <w:pPr>
        <w:pStyle w:val="Heading2"/>
      </w:pPr>
      <w:r>
        <w:t xml:space="preserve">Fase 3 — Punto di orientamento (polo nord)</w:t>
      </w:r>
    </w:p>
    <w:p>
      <w:pPr>
        <w:pStyle w:val="FirstParagraph"/>
      </w:pPr>
      <w:r>
        <w:rPr>
          <w:b/>
          <w:bCs/>
        </w:rPr>
        <w:t xml:space="preserve">Strumento:</w:t>
      </w:r>
      <w:r>
        <w:t xml:space="preserve"> </w:t>
      </w:r>
      <w:r>
        <w:t xml:space="preserve">pennarello nero.</w:t>
      </w:r>
    </w:p>
    <w:p>
      <w:pPr>
        <w:pStyle w:val="BodyText"/>
      </w:pPr>
      <w:r>
        <w:t xml:space="preserve">Traccia un piccolo punto</w:t>
      </w:r>
      <w:r>
        <w:t xml:space="preserve"> </w:t>
      </w:r>
      <w:r>
        <w:rPr>
          <w:rStyle w:val="VerbatimChar"/>
        </w:rPr>
        <w:t xml:space="preserve">•</w:t>
      </w:r>
      <w:r>
        <w:t xml:space="preserve"> </w:t>
      </w:r>
      <w:r>
        <w:t xml:space="preserve">nell’angolo estremo in basso a destra di ogni carta — la zona</w:t>
      </w:r>
      <w:r>
        <w:t xml:space="preserve"> </w:t>
      </w:r>
      <w:r>
        <w:rPr>
          <w:b/>
          <w:bCs/>
        </w:rPr>
        <w:t xml:space="preserve">SE</w:t>
      </w:r>
      <w:r>
        <w:t xml:space="preserve"> </w:t>
      </w:r>
      <w:r>
        <w:t xml:space="preserve">del recto. Questo punto rompe la simmetria verticale delle carte standard e indica il polo nord: il lato con l’indice pre-stampato in alto a sinistra (NW).</w:t>
      </w:r>
    </w:p>
    <w:p>
      <w:pPr>
        <w:pStyle w:val="BodyText"/>
      </w:pPr>
      <w:r>
        <w:t xml:space="preserve">Il punto va su tutte le 52 carte regolari e sui 2 Jolly.</w:t>
      </w:r>
    </w:p>
    <w:p>
      <w:r>
        <w:pict>
          <v:rect style="width:0;height:1.5pt" o:hralign="center" o:hrstd="t" o:hr="t"/>
        </w:pict>
      </w:r>
    </w:p>
    <w:bookmarkEnd w:id="14"/>
    <w:bookmarkStart w:id="15" w:name="fase-4-glifi-primari-e-modificatori"/>
    <w:p>
      <w:pPr>
        <w:pStyle w:val="Heading2"/>
      </w:pPr>
      <w:r>
        <w:t xml:space="preserve">Fase 4 — Glifi primari e modificatori</w:t>
      </w:r>
    </w:p>
    <w:p>
      <w:pPr>
        <w:pStyle w:val="FirstParagraph"/>
      </w:pPr>
      <w:r>
        <w:rPr>
          <w:b/>
          <w:bCs/>
        </w:rPr>
        <w:t xml:space="preserve">Strumento:</w:t>
      </w:r>
      <w:r>
        <w:t xml:space="preserve"> </w:t>
      </w:r>
      <w:r>
        <w:t xml:space="preserve">pennarello nero per le carte rosse (♥ ♦) · pennarello rosso per le carte nere (♣ ♠).</w:t>
      </w:r>
    </w:p>
    <w:p>
      <w:pPr>
        <w:pStyle w:val="BodyText"/>
      </w:pPr>
      <w:r>
        <w:t xml:space="preserve">Consulta la matrice di annotazione. Per ogni carta, annota: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Glifo primario</w:t>
      </w:r>
      <w:r>
        <w:t xml:space="preserve"> </w:t>
      </w:r>
      <w:r>
        <w:t xml:space="preserve">nella zona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(bordo medio inferiore, interno alla carta) e il suo speculare capovolto in zona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(bordo medio superiore).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Glifo modificatore</w:t>
      </w:r>
      <w:r>
        <w:t xml:space="preserve"> </w:t>
      </w:r>
      <w:r>
        <w:t xml:space="preserve">nell’angolo</w:t>
      </w:r>
      <w:r>
        <w:t xml:space="preserve"> </w:t>
      </w:r>
      <w:r>
        <w:rPr>
          <w:b/>
          <w:bCs/>
        </w:rPr>
        <w:t xml:space="preserve">NE</w:t>
      </w:r>
      <w:r>
        <w:t xml:space="preserve"> </w:t>
      </w:r>
      <w:r>
        <w:t xml:space="preserve">(angolo superiore destro) e il suo speculare capovolto in zona</w:t>
      </w:r>
      <w:r>
        <w:t xml:space="preserve"> </w:t>
      </w:r>
      <w:r>
        <w:rPr>
          <w:b/>
          <w:bCs/>
        </w:rPr>
        <w:t xml:space="preserve">SW</w:t>
      </w:r>
      <w:r>
        <w:t xml:space="preserve"> </w:t>
      </w:r>
      <w:r>
        <w:t xml:space="preserve">(angolo inferiore sinistro).</w:t>
      </w:r>
    </w:p>
    <w:p>
      <w:pPr>
        <w:pStyle w:val="FirstParagraph"/>
      </w:pPr>
      <w:r>
        <w:t xml:space="preserve">Le posizioni speculari (N e SW) servono a rendere la carta leggibile a ventaglio, indipendentemente dall’orientamento in mano.</w:t>
      </w:r>
    </w:p>
    <w:p>
      <w:pPr>
        <w:pStyle w:val="BodyText"/>
      </w:pPr>
      <w:r>
        <w:t xml:space="preserve">Il vocabolario DECK# comprende sette glifi: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Glifo</w:t>
            </w:r>
          </w:p>
        </w:tc>
        <w:tc>
          <w:tcPr/>
          <w:p>
            <w:pPr>
              <w:pStyle w:val="Compact"/>
            </w:pPr>
            <w:r>
              <w:t xml:space="preserve">Come si traccia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•</w:t>
            </w:r>
            <w:r>
              <w:t xml:space="preserve"> </w:t>
            </w:r>
            <w:r>
              <w:t xml:space="preserve">punto</w:t>
            </w:r>
          </w:p>
        </w:tc>
        <w:tc>
          <w:tcPr/>
          <w:p>
            <w:pPr>
              <w:pStyle w:val="Compact"/>
            </w:pPr>
            <w:r>
              <w:t xml:space="preserve">un punto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—</w:t>
            </w:r>
            <w:r>
              <w:t xml:space="preserve"> </w:t>
            </w:r>
            <w:r>
              <w:t xml:space="preserve">linea</w:t>
            </w:r>
          </w:p>
        </w:tc>
        <w:tc>
          <w:tcPr/>
          <w:p>
            <w:pPr>
              <w:pStyle w:val="Compact"/>
            </w:pPr>
            <w:r>
              <w:t xml:space="preserve">una linea orizzontale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  <w:r>
              <w:t xml:space="preserve"> </w:t>
            </w:r>
            <w:r>
              <w:t xml:space="preserve">croce</w:t>
            </w:r>
          </w:p>
        </w:tc>
        <w:tc>
          <w:tcPr/>
          <w:p>
            <w:pPr>
              <w:pStyle w:val="Compact"/>
            </w:pPr>
            <w:r>
              <w:t xml:space="preserve">due linee perpendicolari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×</w:t>
            </w:r>
            <w:r>
              <w:t xml:space="preserve"> </w:t>
            </w:r>
            <w:r>
              <w:t xml:space="preserve">diagonale</w:t>
            </w:r>
          </w:p>
        </w:tc>
        <w:tc>
          <w:tcPr/>
          <w:p>
            <w:pPr>
              <w:pStyle w:val="Compact"/>
            </w:pPr>
            <w:r>
              <w:t xml:space="preserve">due linee diagonali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△</w:t>
            </w:r>
            <w:r>
              <w:t xml:space="preserve"> </w:t>
            </w:r>
            <w:r>
              <w:t xml:space="preserve">triangolo</w:t>
            </w:r>
          </w:p>
        </w:tc>
        <w:tc>
          <w:tcPr/>
          <w:p>
            <w:pPr>
              <w:pStyle w:val="Compact"/>
            </w:pPr>
            <w:r>
              <w:t xml:space="preserve">tre tratti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○</w:t>
            </w:r>
            <w:r>
              <w:t xml:space="preserve"> </w:t>
            </w:r>
            <w:r>
              <w:t xml:space="preserve">cerchio</w:t>
            </w:r>
          </w:p>
        </w:tc>
        <w:tc>
          <w:tcPr/>
          <w:p>
            <w:pPr>
              <w:pStyle w:val="Compact"/>
            </w:pPr>
            <w:r>
              <w:t xml:space="preserve">un anello chiuso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□</w:t>
            </w:r>
            <w:r>
              <w:t xml:space="preserve"> </w:t>
            </w:r>
            <w:r>
              <w:t xml:space="preserve">quadrato</w:t>
            </w:r>
          </w:p>
        </w:tc>
        <w:tc>
          <w:tcPr/>
          <w:p>
            <w:pPr>
              <w:pStyle w:val="Compact"/>
            </w:pPr>
            <w:r>
              <w:t xml:space="preserve">quattro tratti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eccezione-i-jolly"/>
    <w:p>
      <w:pPr>
        <w:pStyle w:val="Heading2"/>
      </w:pPr>
      <w:r>
        <w:t xml:space="preserve">Eccezione: i Jolly</w:t>
      </w:r>
    </w:p>
    <w:p>
      <w:pPr>
        <w:pStyle w:val="FirstParagraph"/>
      </w:pPr>
      <w:r>
        <w:t xml:space="preserve">I due Jolly ricevono il</w:t>
      </w:r>
      <w:r>
        <w:t xml:space="preserve"> </w:t>
      </w:r>
      <w:r>
        <w:rPr>
          <w:b/>
          <w:bCs/>
        </w:rPr>
        <w:t xml:space="preserve">marcatore di quadrante</w:t>
      </w:r>
      <w:r>
        <w:t xml:space="preserve"> </w:t>
      </w:r>
      <w:r>
        <w:t xml:space="preserve">sul dorso (Fase 1, identico alle 52 carte regolari) e il</w:t>
      </w:r>
      <w:r>
        <w:t xml:space="preserve"> </w:t>
      </w:r>
      <w:r>
        <w:rPr>
          <w:b/>
          <w:bCs/>
        </w:rPr>
        <w:t xml:space="preserve">punto di orientamento</w:t>
      </w:r>
      <w:r>
        <w:t xml:space="preserve"> </w:t>
      </w:r>
      <w:r>
        <w:t xml:space="preserve">in zona SE (Fase 3). Nessun marcatore di connettività, nessun glifo primario, nessun modificatore.</w:t>
      </w:r>
    </w:p>
    <w:p>
      <w:pPr>
        <w:pStyle w:val="BodyText"/>
      </w:pPr>
      <w:r>
        <w:t xml:space="preserve">Sono variabili non istanziate: ogni gioco decide se e come usarli.</w:t>
      </w:r>
    </w:p>
    <w:p>
      <w:r>
        <w:pict>
          <v:rect style="width:0;height:1.5pt" o:hralign="center" o:hrstd="t" o:hr="t"/>
        </w:pict>
      </w:r>
    </w:p>
    <w:bookmarkEnd w:id="16"/>
    <w:bookmarkStart w:id="17" w:name="schema-riepilogativo-per-carta"/>
    <w:p>
      <w:pPr>
        <w:pStyle w:val="Heading2"/>
      </w:pPr>
      <w:r>
        <w:t xml:space="preserve">Schema riepilogativo per carta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Posizione</w:t>
            </w:r>
          </w:p>
        </w:tc>
        <w:tc>
          <w:tcPr/>
          <w:p>
            <w:pPr>
              <w:pStyle w:val="Compact"/>
            </w:pPr>
            <w:r>
              <w:t xml:space="preserve">52 carte regolari</w:t>
            </w:r>
          </w:p>
        </w:tc>
        <w:tc>
          <w:tcPr/>
          <w:p>
            <w:pPr>
              <w:pStyle w:val="Compact"/>
            </w:pPr>
            <w:r>
              <w:t xml:space="preserve">2 Jolly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Marcatori di quadrante</w:t>
            </w:r>
          </w:p>
        </w:tc>
        <w:tc>
          <w:tcPr/>
          <w:p>
            <w:pPr>
              <w:pStyle w:val="Compact"/>
            </w:pPr>
            <w:r>
              <w:t xml:space="preserve">Dorso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Marcatori di connettività</w:t>
            </w:r>
          </w:p>
        </w:tc>
        <w:tc>
          <w:tcPr/>
          <w:p>
            <w:pPr>
              <w:pStyle w:val="Compact"/>
            </w:pPr>
            <w:r>
              <w:t xml:space="preserve">Bordi recto</w:t>
            </w:r>
          </w:p>
        </w:tc>
        <w:tc>
          <w:tcPr/>
          <w:p>
            <w:pPr>
              <w:pStyle w:val="Compact"/>
            </w:pPr>
            <w:r>
              <w:t xml:space="preserve">✓ (da matrice)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Punto polo nord</w:t>
            </w:r>
          </w:p>
        </w:tc>
        <w:tc>
          <w:tcPr/>
          <w:p>
            <w:pPr>
              <w:pStyle w:val="Compact"/>
            </w:pPr>
            <w:r>
              <w:t xml:space="preserve">Angolo SE recto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Glifo primario</w:t>
            </w:r>
          </w:p>
        </w:tc>
        <w:tc>
          <w:tcPr/>
          <w:p>
            <w:pPr>
              <w:pStyle w:val="Compact"/>
            </w:pPr>
            <w:r>
              <w:t xml:space="preserve">Zone S + N recto</w:t>
            </w:r>
          </w:p>
        </w:tc>
        <w:tc>
          <w:tcPr/>
          <w:p>
            <w:pPr>
              <w:pStyle w:val="Compact"/>
            </w:pPr>
            <w:r>
              <w:t xml:space="preserve">✓ (da matrice)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Glifo modificatore</w:t>
            </w:r>
          </w:p>
        </w:tc>
        <w:tc>
          <w:tcPr/>
          <w:p>
            <w:pPr>
              <w:pStyle w:val="Compact"/>
            </w:pPr>
            <w:r>
              <w:t xml:space="preserve">Zone NE + SW recto</w:t>
            </w:r>
          </w:p>
        </w:tc>
        <w:tc>
          <w:tcPr/>
          <w:p>
            <w:pPr>
              <w:pStyle w:val="Compact"/>
            </w:pPr>
            <w:r>
              <w:t xml:space="preserve">✓ (da matrice)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ome-leggere-la-matrice-di-annotazione"/>
    <w:p>
      <w:pPr>
        <w:pStyle w:val="Heading2"/>
      </w:pPr>
      <w:r>
        <w:t xml:space="preserve">Come leggere la matrice di annotazione</w:t>
      </w:r>
    </w:p>
    <w:p>
      <w:pPr>
        <w:pStyle w:val="FirstParagraph"/>
      </w:pPr>
      <w:r>
        <w:t xml:space="preserve">La matrice elenca tutte le 54 carte con tre informazioni: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Connettività:</w:t>
      </w:r>
      <w:r>
        <w:t xml:space="preserve"> </w:t>
      </w:r>
      <w:r>
        <w:t xml:space="preserve">i bordi aperti, in notazione N/S/E/W separati da</w:t>
      </w:r>
      <w:r>
        <w:t xml:space="preserve"> </w:t>
      </w:r>
      <w:r>
        <w:rPr>
          <w:rStyle w:val="VerbatimChar"/>
        </w:rPr>
        <w:t xml:space="preserve">+</w:t>
      </w:r>
      <w:r>
        <w:t xml:space="preserve">. I bordi non elencati ricevono il marcatore di muro.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Primario:</w:t>
      </w:r>
      <w:r>
        <w:t xml:space="preserve"> </w:t>
      </w:r>
      <w:r>
        <w:t xml:space="preserve">il glifo da tracciare in zona S (e N speculare).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Modificatore:</w:t>
      </w:r>
      <w:r>
        <w:t xml:space="preserve"> </w:t>
      </w:r>
      <w:r>
        <w:t xml:space="preserve">il glifo da tracciare in zona NE (e SW speculare).</w:t>
      </w:r>
    </w:p>
    <w:p>
      <w:pPr>
        <w:pStyle w:val="FirstParagraph"/>
      </w:pPr>
      <w:r>
        <w:t xml:space="preserve">Il colore dei glifi non è nella matrice perché si ricava sempre dal seme: nero per ♥/♦, rosso per ♣/♠.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DECK#</w:t>
      </w:r>
    </w:p>
    <w:p>
      <w:pPr>
        <w:pStyle w:val="BodyText"/>
      </w:pPr>
      <w:r>
        <w:t xml:space="preserve">© 2026 Roberto Bisceglie</w:t>
      </w:r>
    </w:p>
    <w:p>
      <w:pPr>
        <w:pStyle w:val="BodyText"/>
      </w:pPr>
      <w:r>
        <w:t xml:space="preserve">This work is licensed under Creative Commons Attribution-ShareAlike 4.0 International. To view a copy of this license, visit https://creativecommons.org/licenses/by-sa/4.0/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 all’Annotazione DECK#</dc:title>
  <dc:creator>Roberto Bisceglie</dc:creator>
  <dc:language>it</dc:language>
  <cp:keywords/>
  <dcterms:created xsi:type="dcterms:W3CDTF">2026-06-30T14:32:13Z</dcterms:created>
  <dcterms:modified xsi:type="dcterms:W3CDTF">2026-06-30T14:32:13Z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rand">
    <vt:lpwstr>../../_brand.yml</vt:lpwstr>
  </property>
  <property fmtid="{D5CDD505-2E9C-101B-9397-08002B2CF9AE}" pid="5" name="by-author">
    <vt:lpwstr/>
  </property>
  <property fmtid="{D5CDD505-2E9C-101B-9397-08002B2CF9AE}" pid="6" name="cover-logo">
    <vt:lpwstr>../assets/logo.svg</vt:lpwstr>
  </property>
  <property fmtid="{D5CDD505-2E9C-101B-9397-08002B2CF9AE}" pid="7" name="date">
    <vt:lpwstr>2026-06-30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Come preparare fisicamente il tuo mazzo DECK#</vt:lpwstr>
  </property>
  <property fmtid="{D5CDD505-2E9C-101B-9397-08002B2CF9AE}" pid="14" name="toc-title">
    <vt:lpwstr>Indice</vt:lpwstr>
  </property>
  <property fmtid="{D5CDD505-2E9C-101B-9397-08002B2CF9AE}" pid="15" name="version">
    <vt:lpwstr>1</vt:lpwstr>
  </property>
</Properties>
</file>