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Note di Design DECK#</w:t>
      </w:r>
    </w:p>
    <w:p>
      <w:pPr>
        <w:pStyle w:val="Subtitle"/>
      </w:pPr>
      <w:r>
        <w:t xml:space="preserve">Traccia delle decisioni di progettazione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documento interno</w:t>
      </w:r>
    </w:p>
    <w:p>
      <w:r>
        <w:pict>
          <v:rect style="width:0;height:1.5pt" o:hralign="center" o:hrstd="t" o:hr="t"/>
        </w:pict>
      </w:r>
    </w:p>
    <w:bookmarkStart w:id="9" w:name="dc-01-nome-del-sistema-deck"/>
    <w:p>
      <w:pPr>
        <w:pStyle w:val="Heading2"/>
      </w:pPr>
      <w:r>
        <w:t xml:space="preserve">DC-01 — Nome del sistema: DECK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sistema si chiama DECK#.</w:t>
      </w:r>
      <w:r>
        <w:t xml:space="preserve"> </w:t>
      </w:r>
      <w:r>
        <w:rPr>
          <w:b/>
          <w:bCs/>
        </w:rPr>
        <w:t xml:space="preserve">Alternativa considerata:</w:t>
      </w:r>
      <w:r>
        <w:t xml:space="preserve"> </w:t>
      </w:r>
      <w:r>
        <w:t xml:space="preserve">Deckpack.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DECK# (dal greco: lingua, vocabolario) riflette la natura del sistema — un vocabolario condiviso per comunicare informazioni meccaniche. È agnostico alla lingua pur essendo un nome non neutro, il che è appropriato: il nome è un’etichetta meta, non un componente del sistema. Deckpack resta valido per eventuali edizioni fisiche o derivati commerciali.</w:t>
      </w:r>
    </w:p>
    <w:p>
      <w:r>
        <w:pict>
          <v:rect style="width:0;height:1.5pt" o:hralign="center" o:hrstd="t" o:hr="t"/>
        </w:pict>
      </w:r>
    </w:p>
    <w:bookmarkEnd w:id="9"/>
    <w:bookmarkStart w:id="10" w:name="dc-02-ampiezza-del-mazzo-base-52-2-jolly"/>
    <w:p>
      <w:pPr>
        <w:pStyle w:val="Heading2"/>
      </w:pPr>
      <w:r>
        <w:t xml:space="preserve">DC-02 — Ampiezza del mazzo base: 52 + 2 Jolly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54 carte totali.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 Jolly sono strutturalmente distinti già nel mazzo standard — l’unica carta priva di seme e valore. Escluderli sarebbe sprecare una risorsa di design. Le carte pubblicitarie presenti in alcuni mazzi non sono standardizzate e non entrano nella specifica.</w:t>
      </w:r>
    </w:p>
    <w:p>
      <w:r>
        <w:pict>
          <v:rect style="width:0;height:1.5pt" o:hralign="center" o:hrstd="t" o:hr="t"/>
        </w:pict>
      </w:r>
    </w:p>
    <w:bookmarkEnd w:id="10"/>
    <w:bookmarkStart w:id="11" w:name="dc-03-marcatura-permanente"/>
    <w:p>
      <w:pPr>
        <w:pStyle w:val="Heading2"/>
      </w:pPr>
      <w:r>
        <w:t xml:space="preserve">DC-03 — Marcatura permanente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con pennarello indelebile.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cancellabile per tutti i layer; sistema misto.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marcatura permanente trasforma ogni mazzo in un artefatto unico. Gli stati variabili vengono tracciati con token fisici già rimovibili per natura. Il sistema misto è disponibile come pratica opzionale per i singoli giochi ma non viene prescritto.</w:t>
      </w:r>
    </w:p>
    <w:p>
      <w:r>
        <w:pict>
          <v:rect style="width:0;height:1.5pt" o:hralign="center" o:hrstd="t" o:hr="t"/>
        </w:pict>
      </w:r>
    </w:p>
    <w:bookmarkEnd w:id="11"/>
    <w:bookmarkStart w:id="12" w:name="X1508fea6d1fa0bf7c8ab8e22b1ff1961f98cd98"/>
    <w:p>
      <w:pPr>
        <w:pStyle w:val="Heading2"/>
      </w:pPr>
      <w:r>
        <w:t xml:space="preserve">DC-04 — Sistema aperto: nessuna mappatura valore → funzione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DECK# non assegna funzioni meccaniche per valore.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cardpack-spec v0.2.0 aveva definito Space (A-6) / Resource (7-10) / Actor (J-Q-K) come partizione fissa.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quella partizione è la struttura di un gioco tattico specifico, non un vocabolario aperto. Blocca qualsiasi gioco che voglia usare un Asso come personaggio o un Re come territorio. Un sistema aperto non prescrive cosa rappresenta ogni carta — lo fa ogni gioco costruito sopra.</w:t>
      </w:r>
    </w:p>
    <w:p>
      <w:r>
        <w:pict>
          <v:rect style="width:0;height:1.5pt" o:hralign="center" o:hrstd="t" o:hr="t"/>
        </w:pict>
      </w:r>
    </w:p>
    <w:bookmarkEnd w:id="12"/>
    <w:bookmarkStart w:id="13" w:name="Xf1f2b0c38f4be0381c63ac9e308ea60b31efe6e"/>
    <w:p>
      <w:pPr>
        <w:pStyle w:val="Heading2"/>
      </w:pPr>
      <w:r>
        <w:t xml:space="preserve">DC-05 — Sette glifi primari (vocabolario chiuso)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esattamente 7 glifi: punto, linea, croce, diagonale, triangolo, cerchio, quadrato.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coprono le forme geometriche primitive producibili con 1-4 tratti. Sufficientemente distinti visivamente tra loro e dai semi. Il vocabolario è chiuso per garantire interoperabilità — un glifo non presente non esiste in DECK#. L’asterisco di cardpack-spec v0.2.0 è stato escluso perché visivamente ambiguo e motivato da un ruolo semantico (Jolly) che la specifica non deve pre-assegnare.</w:t>
      </w:r>
    </w:p>
    <w:p>
      <w:r>
        <w:pict>
          <v:rect style="width:0;height:1.5pt" o:hralign="center" o:hrstd="t" o:hr="t"/>
        </w:pict>
      </w:r>
    </w:p>
    <w:bookmarkEnd w:id="13"/>
    <w:bookmarkStart w:id="14" w:name="X49a5b94da31902452f3ba5523dcecd615ee1bde"/>
    <w:p>
      <w:pPr>
        <w:pStyle w:val="Heading2"/>
      </w:pPr>
      <w:r>
        <w:t xml:space="preserve">DC-06 — Colore dei glifi: regola contrastante</w:t>
      </w:r>
    </w:p>
    <w:p>
      <w:pPr>
        <w:pStyle w:val="FirstParagraph"/>
      </w:pPr>
      <w:r>
        <w:rPr>
          <w:b/>
          <w:bCs/>
        </w:rPr>
        <w:t xml:space="preserve">Decisione originale (v0.1–v0.6):</w:t>
      </w:r>
      <w:r>
        <w:t xml:space="preserve"> </w:t>
      </w:r>
      <w:r>
        <w:t xml:space="preserve">il colore del pennarello è un layer semantico indipendente, ortogonale al glifo; convenzione non prescritta.</w:t>
      </w:r>
      <w:r>
        <w:t xml:space="preserve"> </w:t>
      </w:r>
      <w:r>
        <w:rPr>
          <w:b/>
          <w:bCs/>
        </w:rPr>
        <w:t xml:space="preserve">Decisione aggiornata (v0.7):</w:t>
      </w:r>
      <w:r>
        <w:t xml:space="preserve"> </w:t>
      </w:r>
      <w:r>
        <w:t xml:space="preserve">il colore dei glifi segue la regola contrastante fissa — glifi neri su carte rosse (♥/♦), glifi rossi su carte nere (♣/♠). Vedi DC-22.</w:t>
      </w:r>
      <w:r>
        <w:t xml:space="preserve"> </w:t>
      </w:r>
      <w:r>
        <w:rPr>
          <w:b/>
          <w:bCs/>
        </w:rPr>
        <w:t xml:space="preserve">Motivazione del cambiamento:</w:t>
      </w:r>
      <w:r>
        <w:t xml:space="preserve"> </w:t>
      </w:r>
      <w:r>
        <w:t xml:space="preserve">un asse semantico</w:t>
      </w:r>
      <w:r>
        <w:t xml:space="preserve"> </w:t>
      </w:r>
      <w:r>
        <w:t xml:space="preserve">“disponibile ma non prescritto”</w:t>
      </w:r>
      <w:r>
        <w:t xml:space="preserve"> </w:t>
      </w:r>
      <w:r>
        <w:t xml:space="preserve">non entra mai nell’annotazione canonica. La regola contrastante è semplice, memorabile e garantisce alta leggibilità su tutte le carte senza richiedere una colonna colore nella matrice.</w:t>
      </w:r>
    </w:p>
    <w:p>
      <w:r>
        <w:pict>
          <v:rect style="width:0;height:1.5pt" o:hralign="center" o:hrstd="t" o:hr="t"/>
        </w:pict>
      </w:r>
    </w:p>
    <w:bookmarkEnd w:id="14"/>
    <w:bookmarkStart w:id="15" w:name="X7aa019db6a90271773414f021685da28a26e7d4"/>
    <w:p>
      <w:pPr>
        <w:pStyle w:val="Heading2"/>
      </w:pPr>
      <w:r>
        <w:t xml:space="preserve">DC-07 — Dorso: eccezione per marcatori di quadrante</w:t>
      </w:r>
    </w:p>
    <w:p>
      <w:pPr>
        <w:pStyle w:val="FirstParagraph"/>
      </w:pPr>
      <w:r>
        <w:rPr>
          <w:b/>
          <w:bCs/>
        </w:rPr>
        <w:t xml:space="preserve">Decisione originale (v0.1–v0.5):</w:t>
      </w:r>
      <w:r>
        <w:t xml:space="preserve"> </w:t>
      </w:r>
      <w:r>
        <w:t xml:space="preserve">dorso escluso dall’annotazione.</w:t>
      </w:r>
      <w:r>
        <w:t xml:space="preserve"> </w:t>
      </w:r>
      <w:r>
        <w:rPr>
          <w:b/>
          <w:bCs/>
        </w:rPr>
        <w:t xml:space="preserve">Decisione aggiornata (v0.6):</w:t>
      </w:r>
      <w:r>
        <w:t xml:space="preserve"> </w:t>
      </w:r>
      <w:r>
        <w:t xml:space="preserve">il dorso delle 52 carte regolari riceve esclusivamente i marcatori di quadrante. Due varianti ammesse: minima (quattro segmenti corti ai punti medi) o estesa (croce completa</w:t>
      </w:r>
      <w:r>
        <w:t xml:space="preserve"> </w:t>
      </w:r>
      <w:r>
        <w:rPr>
          <w:rStyle w:val="VerbatimChar"/>
        </w:rPr>
        <w:t xml:space="preserve">+</w:t>
      </w:r>
      <w:r>
        <w:t xml:space="preserve">). La scelta è lasciata a chi annota. I Jolly non ricevono marcatori di quadrante nemmeno sul dorso.</w:t>
      </w:r>
      <w:r>
        <w:t xml:space="preserve"> </w:t>
      </w:r>
      <w:r>
        <w:rPr>
          <w:b/>
          <w:bCs/>
        </w:rPr>
        <w:t xml:space="preserve">Motivazione dell’eccezione:</w:t>
      </w:r>
      <w:r>
        <w:t xml:space="preserve"> </w:t>
      </w:r>
      <w:r>
        <w:t xml:space="preserve">i marcatori di quadrante sono identici su tutte le 52 carte regolari — non rivelano nessuna informazione differenziale. La motivazione originale (preservare l’anonimità per fog-of-war) non si applica a marcatori uniformi. Il beneficio è eliminare la coesistenza con il glifo primario in zona S (DA-01 / DC-21, ora superate).</w:t>
      </w:r>
    </w:p>
    <w:p>
      <w:r>
        <w:pict>
          <v:rect style="width:0;height:1.5pt" o:hralign="center" o:hrstd="t" o:hr="t"/>
        </w:pict>
      </w:r>
    </w:p>
    <w:bookmarkEnd w:id="15"/>
    <w:bookmarkStart w:id="16" w:name="dc-08-convenzione-del-polo-nord"/>
    <w:p>
      <w:pPr>
        <w:pStyle w:val="Heading2"/>
      </w:pPr>
      <w:r>
        <w:t xml:space="preserve">DC-08 — Convenzione del polo nord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polo nord = lato con indice NW canonico. Punto in SE come marcatore di orientamento.</w:t>
      </w:r>
      <w:r>
        <w:t xml:space="preserve"> </w:t>
      </w:r>
      <w:r>
        <w:rPr>
          <w:b/>
          <w:bCs/>
        </w:rPr>
        <w:t xml:space="preserve">Problema:</w:t>
      </w:r>
      <w:r>
        <w:t xml:space="preserve"> </w:t>
      </w:r>
      <w:r>
        <w:t xml:space="preserve">le carte hanno simmetria verticale per motivi ergonomici. Con elementi spaziali, va rotta esplicitamente.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punto in SE è la soluzione meno invasiva — non copre nulla, è asimmetrico, richiede un tratto. Una freccia fissa avrebbe introdotto semantica spaziale anche per giochi senza orientamento.</w:t>
      </w:r>
    </w:p>
    <w:p>
      <w:r>
        <w:pict>
          <v:rect style="width:0;height:1.5pt" o:hralign="center" o:hrstd="t" o:hr="t"/>
        </w:pict>
      </w:r>
    </w:p>
    <w:bookmarkEnd w:id="16"/>
    <w:bookmarkStart w:id="17" w:name="Xd63e10e6b52cc5dfd1f9b57468e4885d4e4e0c2"/>
    <w:p>
      <w:pPr>
        <w:pStyle w:val="Heading2"/>
      </w:pPr>
      <w:r>
        <w:t xml:space="preserve">DC-09 — Posizionamento simmetrico in hand mode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in due posizioni speculari — glifo primario in zona S con speculare in N; modificatore in angolo NE con speculare in SW. Vedi DC-18 per le zone specifiche.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(zone aggiornate in DC-18).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convenzione ergonomica standard dei mazzi — gli indici sono già duplicati e ruotati per la stessa ragione. Garantisce leggibilità a ventaglio senza regole aggiuntive.</w:t>
      </w:r>
    </w:p>
    <w:p>
      <w:r>
        <w:pict>
          <v:rect style="width:0;height:1.5pt" o:hralign="center" o:hrstd="t" o:hr="t"/>
        </w:pict>
      </w:r>
    </w:p>
    <w:bookmarkEnd w:id="17"/>
    <w:bookmarkStart w:id="18" w:name="dc-10-marcatori-di-quadrante"/>
    <w:p>
      <w:pPr>
        <w:pStyle w:val="Heading2"/>
      </w:pPr>
      <w:r>
        <w:t xml:space="preserve">DC-10 — Marcatori di quadrante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presenti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 (migrazione dal recto in v0.6, vedi DC-07 rev.). Due varianti: minima (quattro segmenti corti) o estesa (croce</w:t>
      </w:r>
      <w:r>
        <w:t xml:space="preserve"> </w:t>
      </w:r>
      <w:r>
        <w:rPr>
          <w:rStyle w:val="VerbatimChar"/>
        </w:rPr>
        <w:t xml:space="preserve">+</w:t>
      </w:r>
      <w:r>
        <w:t xml:space="preserve">). Assenti sui Jolly.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(universalità stabilita in DC-17; migrazione al dorso in DC-07 rev. v0.6).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sul recto i segmenti corti erano necessari per evitare di coprire i pip. Sul dorso la variante estesa (croce completa) diventa praticabile senza interferenze.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estesi anche ai Jolly sul dorso. Vedi DC-11 rev. per la motivazione.</w:t>
      </w:r>
    </w:p>
    <w:p>
      <w:r>
        <w:pict>
          <v:rect style="width:0;height:1.5pt" o:hralign="center" o:hrstd="t" o:hr="t"/>
        </w:pict>
      </w:r>
    </w:p>
    <w:bookmarkEnd w:id="18"/>
    <w:bookmarkStart w:id="19" w:name="X2b369b0b95343486c2c6a66544d0a571a6b150f"/>
    <w:p>
      <w:pPr>
        <w:pStyle w:val="Heading2"/>
      </w:pPr>
      <w:r>
        <w:t xml:space="preserve">DC-11 — Jolly come variabili non istanziate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Jolly ricevono solo il punto SE (polo nord). Nessun glifo primario, nessun modificatore, nessun marcatore di connettività, nessun marcatore di quadrante.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asterisco fisso in cardpack-spec v0.2.0.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l’asterisco trasforma i Jolly in un ruolo funzionale specifico prima che un gioco li usi. Un sistema aperto lascia i Jolly come superfici neutre. La loro assenza dagli assi ereditati è già sufficiente a distinguerli.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i Jolly ricevono i marcatori di quadrante sul dorso. La motivazione originale (neutralità del Jolly come superficie bianca) si applica al recto, non al dorso: i marcatori di quadrante sono uniformi su tutte le carte e non trasmettono alcuna informazione differenziale. La loro assenza sul dorso dei Jolly li rendeva riconoscibili a carte coperte, compromettendo il fog-of-war. Il principio di neutralità rimane integro: il Jolly è ancora privo di semantica pre-assegnata sul recto.</w:t>
      </w:r>
    </w:p>
    <w:p>
      <w:r>
        <w:pict>
          <v:rect style="width:0;height:1.5pt" o:hralign="center" o:hrstd="t" o:hr="t"/>
        </w:pict>
      </w:r>
    </w:p>
    <w:bookmarkEnd w:id="19"/>
    <w:bookmarkStart w:id="20" w:name="dc-12-profili-base-ed-esteso"/>
    <w:p>
      <w:pPr>
        <w:pStyle w:val="Heading2"/>
      </w:pPr>
      <w:r>
        <w:t xml:space="preserve">DC-12 — Profili Base ed Esteso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due profili con requisiti crescenti.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(assente in DECK# v0.1).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sistema deve essere accessibile con il minimo materiale ma non fingere che tutti i giochi abbiano gli stessi requisiti. La distinzione è una dichiarazione di scope, non una gerarchia.</w:t>
      </w:r>
    </w:p>
    <w:p>
      <w:r>
        <w:pict>
          <v:rect style="width:0;height:1.5pt" o:hralign="center" o:hrstd="t" o:hr="t"/>
        </w:pict>
      </w:r>
    </w:p>
    <w:bookmarkEnd w:id="20"/>
    <w:bookmarkStart w:id="21" w:name="X296167ba7be98578a93ff280f77a3d1ca4eaca8"/>
    <w:p>
      <w:pPr>
        <w:pStyle w:val="Heading2"/>
      </w:pPr>
      <w:r>
        <w:t xml:space="preserve">DC-13 — Sezione</w:t>
      </w:r>
      <w:r>
        <w:t xml:space="preserve"> </w:t>
      </w:r>
      <w:r>
        <w:t xml:space="preserve">“Responsabilità del designer”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lista esplicita di ciò che ogni gioco costruito su DECK# deve specificare.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senza questa sezione un designer non sa dove inizia il suo lavoro. La lista delimita l’interfaccia tra specifica e gioco.</w:t>
      </w:r>
    </w:p>
    <w:p>
      <w:r>
        <w:pict>
          <v:rect style="width:0;height:1.5pt" o:hralign="center" o:hrstd="t" o:hr="t"/>
        </w:pict>
      </w:r>
    </w:p>
    <w:bookmarkEnd w:id="21"/>
    <w:bookmarkStart w:id="22" w:name="dc-14-licenza-cc-by-4.0"/>
    <w:p>
      <w:pPr>
        <w:pStyle w:val="Heading2"/>
      </w:pPr>
      <w:r>
        <w:t xml:space="preserve">DC-14 — Licenza CC BY 4.0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Creative Commons Attribution 4.0 International.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CC0, CC BY-SA, licenza proprietaria con permesso d’uso.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CC BY 4.0 bilancia apertura e attribuzione. Permette uso commerciale, non impone copyleft sui derivati, richiede solo citazione della fonte. CC0 avrebbe rinunciato a qualsiasi tracciabilità dell’ecosistema. CC BY-SA avrebbe creato frizioni per giochi commerciali.</w:t>
      </w:r>
    </w:p>
    <w:p>
      <w:r>
        <w:pict>
          <v:rect style="width:0;height:1.5pt" o:hralign="center" o:hrstd="t" o:hr="t"/>
        </w:pict>
      </w:r>
    </w:p>
    <w:bookmarkEnd w:id="22"/>
    <w:bookmarkStart w:id="23" w:name="dc-15-layer-unico-strutturale"/>
    <w:p>
      <w:pPr>
        <w:pStyle w:val="Heading2"/>
      </w:pPr>
      <w:r>
        <w:t xml:space="preserve">DC-15 — Layer unico strutturale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glifi sono strutturali per definizione. Non esiste un layer semantico separato aggiunto dal gioco — il designer interpreta i glifi strutturali, non aggiunge un layer proprio.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modello a due layer (strutturale DECK# + semantico per gioco).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distinzione layer strutturale / layer semantico è concettuale, non fisica. Sul mazzo c’è un solo strato di annotazione. La semantica è un’operazione di lettura, non di scrittura.</w:t>
      </w:r>
    </w:p>
    <w:p>
      <w:r>
        <w:pict>
          <v:rect style="width:0;height:1.5pt" o:hralign="center" o:hrstd="t" o:hr="t"/>
        </w:pict>
      </w:r>
    </w:p>
    <w:bookmarkEnd w:id="23"/>
    <w:bookmarkStart w:id="24" w:name="X87f31c251d70cc50bf753350832b63e88f07344"/>
    <w:p>
      <w:pPr>
        <w:pStyle w:val="Heading2"/>
      </w:pPr>
      <w:r>
        <w:t xml:space="preserve">DC-16 — Tre dimensioni strutturali per carta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ogni carta è definita da tre dimensioni: Connettività (pattern di bordi aperti tra 15 configurazioni), Primario (glifo in zona S), Modificatore (glifo in angolo NE). Gerarchia posizionale, non semantica: Primario + Modificatore identici (es. ×/×) sono combinazioni legittime.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tre dimensioni indipendenti creano uno spazio combinatorio (15 × 7 × 7 = 735 configurazioni teoriche) molto più ricco dei 52 slot necessari, garantendo libertà di design nella distribuzione.</w:t>
      </w:r>
    </w:p>
    <w:p>
      <w:r>
        <w:pict>
          <v:rect style="width:0;height:1.5pt" o:hralign="center" o:hrstd="t" o:hr="t"/>
        </w:pict>
      </w:r>
    </w:p>
    <w:bookmarkEnd w:id="24"/>
    <w:bookmarkStart w:id="25" w:name="dc-17-marcatori-di-quadrante-universali"/>
    <w:p>
      <w:pPr>
        <w:pStyle w:val="Heading2"/>
      </w:pPr>
      <w:r>
        <w:t xml:space="preserve">DC-17 — Marcatori di quadrante universali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marcatori di quadrante sono presenti su tutte le 52 carte regolari. Assenti sui Jolly.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presenza variabile come dimensione della matrice.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capacità spaziale uniforme semplifica l’annotazione e sposta la gestione della capacità al gioco, che può ignorarla, usarla parzialmente o sfruttarla integralmente.</w:t>
      </w:r>
    </w:p>
    <w:p>
      <w:r>
        <w:pict>
          <v:rect style="width:0;height:1.5pt" o:hralign="center" o:hrstd="t" o:hr="t"/>
        </w:pict>
      </w:r>
    </w:p>
    <w:bookmarkEnd w:id="25"/>
    <w:bookmarkStart w:id="26" w:name="Xc79c6783962f43a124f8aca2810b566fd02f464"/>
    <w:p>
      <w:pPr>
        <w:pStyle w:val="Heading2"/>
      </w:pPr>
      <w:r>
        <w:t xml:space="preserve">DC-18 — Zone: Primario in S, Modificatore in 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glifo primario in zona S (interno, bordo medio inferiore) con speculare in N; modificatore in angolo NE con speculare in SW. Centro non occupato da annotazioni DECK#.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primario al centro (bloccato dai pip sulle carte numerali).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zona S è visibile quando le carte sono tenute a ventaglio; è pulita e separata dai pip per tutte le carte. NE è il secondo angolo più visibile. Il centro resta leggibile per i pip e disponibile come spazio visivo neutro.</w:t>
      </w:r>
    </w:p>
    <w:p>
      <w:r>
        <w:pict>
          <v:rect style="width:0;height:1.5pt" o:hralign="center" o:hrstd="t" o:hr="t"/>
        </w:pict>
      </w:r>
    </w:p>
    <w:bookmarkEnd w:id="26"/>
    <w:bookmarkStart w:id="27" w:name="Xb9dab16628112a23b7cbff99609f596dd50b8cc"/>
    <w:p>
      <w:pPr>
        <w:pStyle w:val="Heading2"/>
      </w:pPr>
      <w:r>
        <w:t xml:space="preserve">DC-19 — Matrice di annotazione come artefatto di design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la distribuzione di connettività e glifi sulle 52 carte è un artefatto authored, ortogonale a valore/seme/colore per costruzione deliberata. Non esiste formula algoritmica che colleghi proprietà del substrato all’annotazione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l’ortogonalità per formula richiederebbe di usare valore/seme come indice, re-encodandoli implicitamente. L’ortogonalità per design è più robusta: nessuna correlazione sistematica, varietà topologica controllata.</w:t>
      </w:r>
    </w:p>
    <w:p>
      <w:r>
        <w:pict>
          <v:rect style="width:0;height:1.5pt" o:hralign="center" o:hrstd="t" o:hr="t"/>
        </w:pict>
      </w:r>
    </w:p>
    <w:bookmarkEnd w:id="27"/>
    <w:bookmarkStart w:id="28" w:name="Xa1b1f50dc395404eb668dc92ef102d83000b030"/>
    <w:p>
      <w:pPr>
        <w:pStyle w:val="Heading2"/>
      </w:pPr>
      <w:r>
        <w:t xml:space="preserve">DC-20 — Annotazione pre-gioco come standard assoluto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mazzo DECK# viene annotato integralmente prima di qualsiasi sessione. Nessuna annotazione in gioco per il layer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coerente con il modello del mazzo come artefatto fisso. Rimuove una fonte di ambiguità dalla sezione</w:t>
      </w:r>
      <w:r>
        <w:t xml:space="preserve"> </w:t>
      </w:r>
      <w:r>
        <w:t xml:space="preserve">“Responsabilità del designer”</w:t>
      </w:r>
      <w:r>
        <w:t xml:space="preserve"> </w:t>
      </w:r>
      <w:r>
        <w:t xml:space="preserve">— non è una scelta del gioco, è un vincolo del sistema.</w:t>
      </w:r>
    </w:p>
    <w:p>
      <w:r>
        <w:pict>
          <v:rect style="width:0;height:1.5pt" o:hralign="center" o:hrstd="t" o:hr="t"/>
        </w:pict>
      </w:r>
    </w:p>
    <w:bookmarkEnd w:id="28"/>
    <w:bookmarkStart w:id="29" w:name="Xed85b8a88d7f208aa6770aa4d46808757558532"/>
    <w:p>
      <w:pPr>
        <w:pStyle w:val="Heading2"/>
      </w:pPr>
      <w:r>
        <w:t xml:space="preserve">DC-22 — Colore dei glifi: regola contrastante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glifi neri su carte rosse (♥/♦); glifi rossi su carte nere (♣/♠). Regola fissa, nessuna colonna colore nella matrice.</w:t>
      </w:r>
      <w:r>
        <w:t xml:space="preserve"> </w:t>
      </w:r>
      <w:r>
        <w:rPr>
          <w:b/>
          <w:bCs/>
        </w:rPr>
        <w:t xml:space="preserve">Alternative scartate:</w:t>
      </w:r>
      <w:r>
        <w:t xml:space="preserve"> </w:t>
      </w:r>
      <w:r>
        <w:t xml:space="preserve">(1) colore come asse semantico indipendente nella matrice — richiede distribuzione progettata e aggiunge complessità; (2) tutti i glifi in nero — perde leggibilità su carte nere.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colore contrastante è interamente derivabile dal seme (zero informazione differenziale nuova) ma massimizza la separazione visiva tra annotazione e substrato. La semplicità della regola è il valore principale: chiunque annoti il mazzo può ricavarla senza consultare la matrice.</w:t>
      </w:r>
    </w:p>
    <w:p>
      <w:r>
        <w:pict>
          <v:rect style="width:0;height:1.5pt" o:hralign="center" o:hrstd="t" o:hr="t"/>
        </w:pict>
      </w:r>
    </w:p>
    <w:bookmarkEnd w:id="29"/>
    <w:bookmarkStart w:id="30" w:name="X8f1a7b5cd87b699196bb1e5c4d958aa0ec868c7"/>
    <w:p>
      <w:pPr>
        <w:pStyle w:val="Heading2"/>
      </w:pPr>
      <w:r>
        <w:t xml:space="preserve">DC-21 — Convivenza marcatore di quadrante e glifo primario in zona S</w:t>
      </w:r>
    </w:p>
    <w:p>
      <w:pPr>
        <w:pStyle w:val="FirstParagraph"/>
      </w:pPr>
      <w:r>
        <w:rPr>
          <w:b/>
          <w:bCs/>
        </w:rPr>
        <w:t xml:space="preserve">SUPERATA in v0.6 da DC-07 rev.</w:t>
      </w:r>
      <w:r>
        <w:t xml:space="preserve"> </w:t>
      </w:r>
      <w:r>
        <w:t xml:space="preserve">I marcatori di quadrante migrano sul dorso: la coesistenza con il glifo primario in zona S non si pone più. La sezione 5.1 della spec (diagramma di posizionamento) è stata rimossa.</w:t>
      </w:r>
    </w:p>
    <w:p>
      <w:r>
        <w:pict>
          <v:rect style="width:0;height:1.5pt" o:hralign="center" o:hrstd="t" o:hr="t"/>
        </w:pict>
      </w:r>
    </w:p>
    <w:bookmarkEnd w:id="30"/>
    <w:bookmarkStart w:id="31" w:name="decisioni-aperte"/>
    <w:p>
      <w:pPr>
        <w:pStyle w:val="Heading2"/>
      </w:pPr>
      <w:r>
        <w:t xml:space="preserve">Decisioni aperte</w:t>
      </w:r>
    </w:p>
    <w:p>
      <w:pPr>
        <w:pStyle w:val="FirstParagraph"/>
      </w:pPr>
      <w:r>
        <w:rPr>
          <w:b/>
          <w:bCs/>
        </w:rPr>
        <w:t xml:space="preserve">DA-01 — CHIUSA</w:t>
      </w:r>
      <w:r>
        <w:t xml:space="preserve"> </w:t>
      </w:r>
      <w:r>
        <w:t xml:space="preserve">(DC-16, DC-18): la coesistenza di più glifi nella stessa zona non si pone — ogni zona ha al massimo un glifo DECK#.</w:t>
      </w:r>
    </w:p>
    <w:p>
      <w:pPr>
        <w:pStyle w:val="BodyText"/>
      </w:pPr>
      <w:r>
        <w:rPr>
          <w:b/>
          <w:bCs/>
        </w:rPr>
        <w:t xml:space="preserve">DA-02 — Notazione per subset di mazzo:</w:t>
      </w:r>
      <w:r>
        <w:t xml:space="preserve"> </w:t>
      </w:r>
      <w:r>
        <w:t xml:space="preserve">sistema standard per documentare quale sottoinsieme viene usato (es.</w:t>
      </w:r>
      <w:r>
        <w:t xml:space="preserve"> </w:t>
      </w:r>
      <w:r>
        <w:rPr>
          <w:rStyle w:val="VerbatimChar"/>
        </w:rPr>
        <w:t xml:space="preserve">DECK#/♠A-6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DA-03 — CHIUSA:</w:t>
      </w:r>
      <w:r>
        <w:t xml:space="preserve"> </w:t>
      </w:r>
      <w:r>
        <w:t xml:space="preserve">compatibilità con mazzi non standard fuori scope per definizione. Il prerequisito di DECK# è un mazzo francese/poker standard (52 + 2 Jolly). Mazzi spagnoli, tedeschi, tarocchi non soddisfano il substrato ereditato della sezione 3.</w:t>
      </w:r>
    </w:p>
    <w:p>
      <w:pPr>
        <w:pStyle w:val="BodyText"/>
      </w:pPr>
      <w:r>
        <w:rPr>
          <w:b/>
          <w:bCs/>
        </w:rPr>
        <w:t xml:space="preserve">DA-04 — CHIUSA (rigettata):</w:t>
      </w:r>
      <w:r>
        <w:t xml:space="preserve"> </w:t>
      </w:r>
      <w:r>
        <w:t xml:space="preserve">i marcatori di quadrante sul dorso sarebbero utili in tile mode con carta coperta, ma il pattern del dorso varia da mazzo a mazzo in modo imprevedibile — su dorsi con motivi fitti i marcatori sarebbero illeggibili o nascosti. DC-07 (dorso non annotabile) rimane valido senza eccezioni.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di Design DECK#</dc:title>
  <dc:creator>Roberto Bisceglie</dc:creator>
  <dc:language>it</dc:language>
  <cp:keywords/>
  <dcterms:created xsi:type="dcterms:W3CDTF">2026-06-30T14:32:18Z</dcterms:created>
  <dcterms:modified xsi:type="dcterms:W3CDTF">2026-06-30T14:32:18Z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2026-06-30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Traccia delle decisioni di progettazione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