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Specifiche DECK#</w:t>
      </w:r>
    </w:p>
    <w:p>
      <w:pPr>
        <w:pStyle w:val="Subtitle"/>
      </w:pPr>
      <w:r>
        <w:t xml:space="preserve">Sistema di annotazione stratificata per mazzo di carte standard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2026-06-30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version: 0.7.0 · status: draft</w:t>
      </w:r>
    </w:p>
    <w:bookmarkStart w:id="10" w:name="natura-e-scope-del-sistema"/>
    <w:p>
      <w:pPr>
        <w:pStyle w:val="Heading2"/>
      </w:pPr>
      <w:r>
        <w:t xml:space="preserve">1. Natura e scope del sistema</w:t>
      </w:r>
    </w:p>
    <w:p>
      <w:pPr>
        <w:pStyle w:val="FirstParagraph"/>
      </w:pPr>
      <w:r>
        <w:t xml:space="preserve">DECK# è un protocollo di annotazione stratificata su un mazzo di carte standard (52 + 2 Jolly).</w:t>
      </w:r>
    </w:p>
    <w:p>
      <w:pPr>
        <w:pStyle w:val="BodyText"/>
      </w:pPr>
      <w:r>
        <w:t xml:space="preserve">Il suo scopo è permettere a chiunque di costruire e giocare giochi da tavolo complessi usando materiali reperibili ovunque e a costo minimo: un mazzo di carte francesi e due pennarelli permanenti. Nessun componente proprietario, nessun materiale dedicato, nessuna dipendenza da editori o produttori specifici.</w:t>
      </w:r>
    </w:p>
    <w:p>
      <w:pPr>
        <w:pStyle w:val="BodyText"/>
      </w:pPr>
      <w:r>
        <w:t xml:space="preserve">DECK# è ispirato al</w:t>
      </w:r>
      <w:r>
        <w:t xml:space="preserve"> </w:t>
      </w:r>
      <w:r>
        <w:rPr>
          <w:b/>
          <w:bCs/>
        </w:rPr>
        <w:t xml:space="preserve">Piecepack</w:t>
      </w:r>
      <w:r>
        <w:t xml:space="preserve"> </w:t>
      </w:r>
      <w:r>
        <w:t xml:space="preserve">— sistema di componenti aperti per giochi da tavolo ideato da James Kyle nel 2000 — di cui condivide la filosofia: un substrato standardizzato e aperto su cui la comunità costruisce giochi liberamente. Come il Piecepack, DECK# è open source.</w:t>
      </w:r>
    </w:p>
    <w:p>
      <w:pPr>
        <w:pStyle w:val="BodyText"/>
      </w:pPr>
      <w:r>
        <w:t xml:space="preserve">DECK#</w:t>
      </w:r>
      <w:r>
        <w:t xml:space="preserve"> </w:t>
      </w:r>
      <w:r>
        <w:rPr>
          <w:b/>
          <w:bCs/>
        </w:rPr>
        <w:t xml:space="preserve">non è</w:t>
      </w:r>
      <w:r>
        <w:t xml:space="preserve"> </w:t>
      </w:r>
      <w:r>
        <w:t xml:space="preserve">un mazzo universale. Non prescrive giochi, meccaniche, semantiche di gioco, né generi. È un sistema aperto: definisce un vocabolario grafico condiviso e una struttura fisica di annotazione. I giochi costruiti su DECK# usano questo vocabolario e ne assegnano i significati.</w:t>
      </w:r>
    </w:p>
    <w:p>
      <w:pPr>
        <w:pStyle w:val="BodyText"/>
      </w:pPr>
      <w:r>
        <w:t xml:space="preserve">Il mazzo standard porta con sé tre assi informativi preesistenti che DECK# riconosce come</w:t>
      </w:r>
      <w:r>
        <w:t xml:space="preserve"> </w:t>
      </w:r>
      <w:r>
        <w:rPr>
          <w:b/>
          <w:bCs/>
        </w:rPr>
        <w:t xml:space="preserve">attivi e intoccabili</w:t>
      </w:r>
      <w:r>
        <w:t xml:space="preserve">. L’annotazione aggiunge informazioni che la carta non possiede; non sostituisce quelle che già ha.</w:t>
      </w:r>
    </w:p>
    <w:p>
      <w:pPr>
        <w:pStyle w:val="BodyText"/>
      </w:pPr>
      <w:r>
        <w:t xml:space="preserve">DECK# è agnostico alla lingua. L’intero vocabolario grafico è composto da glifi geometrici e cifre arabiche. Nessun testo è necessario o ammesso nelle annotazioni.</w:t>
      </w:r>
    </w:p>
    <w:bookmarkStart w:id="9" w:name="fuori-scope"/>
    <w:p>
      <w:pPr>
        <w:pStyle w:val="Heading3"/>
      </w:pPr>
      <w:r>
        <w:t xml:space="preserve">Fuori scope</w:t>
      </w:r>
    </w:p>
    <w:p>
      <w:pPr>
        <w:pStyle w:val="FirstParagraph"/>
      </w:pPr>
      <w:r>
        <w:t xml:space="preserve">I seguenti elementi sono esplicitamente fuori scope e delegati ai singoli giochi:</w:t>
      </w:r>
    </w:p>
    <w:p>
      <w:pPr>
        <w:pStyle w:val="Compact"/>
        <w:numPr>
          <w:ilvl w:val="0"/>
          <w:numId w:val="1001"/>
        </w:numPr>
      </w:pPr>
      <w:r>
        <w:t xml:space="preserve">Il significato dei semi</w:t>
      </w:r>
    </w:p>
    <w:p>
      <w:pPr>
        <w:pStyle w:val="Compact"/>
        <w:numPr>
          <w:ilvl w:val="0"/>
          <w:numId w:val="1001"/>
        </w:numPr>
      </w:pPr>
      <w:r>
        <w:t xml:space="preserve">Il significato del colore rosso/nero degli assi ereditati</w:t>
      </w:r>
    </w:p>
    <w:p>
      <w:pPr>
        <w:pStyle w:val="Compact"/>
        <w:numPr>
          <w:ilvl w:val="0"/>
          <w:numId w:val="1001"/>
        </w:numPr>
      </w:pPr>
      <w:r>
        <w:t xml:space="preserve">Il significato dei valori numerici</w:t>
      </w:r>
    </w:p>
    <w:p>
      <w:pPr>
        <w:pStyle w:val="Compact"/>
        <w:numPr>
          <w:ilvl w:val="0"/>
          <w:numId w:val="1001"/>
        </w:numPr>
      </w:pPr>
      <w:r>
        <w:t xml:space="preserve">Il significato di ogni glifo (il vocabolario è condiviso, la semantica no)</w:t>
      </w:r>
    </w:p>
    <w:p>
      <w:pPr>
        <w:pStyle w:val="Compact"/>
        <w:numPr>
          <w:ilvl w:val="0"/>
          <w:numId w:val="1001"/>
        </w:numPr>
      </w:pPr>
      <w:r>
        <w:t xml:space="preserve">La mappatura valore → funzione meccanica (es. A-6 = spazio, 7-10 = risorsa)</w:t>
      </w:r>
    </w:p>
    <w:p>
      <w:pPr>
        <w:pStyle w:val="Compact"/>
        <w:numPr>
          <w:ilvl w:val="0"/>
          <w:numId w:val="1001"/>
        </w:numPr>
      </w:pPr>
      <w:r>
        <w:t xml:space="preserve">Regole di movimento e topologia della griglia</w:t>
      </w:r>
    </w:p>
    <w:p>
      <w:pPr>
        <w:pStyle w:val="Compact"/>
        <w:numPr>
          <w:ilvl w:val="0"/>
          <w:numId w:val="1001"/>
        </w:numPr>
      </w:pPr>
      <w:r>
        <w:t xml:space="preserve">Meccaniche di risoluzione, combattimento, interazione</w:t>
      </w:r>
    </w:p>
    <w:p>
      <w:pPr>
        <w:pStyle w:val="Compact"/>
        <w:numPr>
          <w:ilvl w:val="0"/>
          <w:numId w:val="1001"/>
        </w:numPr>
      </w:pPr>
      <w:r>
        <w:t xml:space="preserve">Meccaniche di economia e risorse</w:t>
      </w:r>
    </w:p>
    <w:p>
      <w:pPr>
        <w:pStyle w:val="Compact"/>
        <w:numPr>
          <w:ilvl w:val="0"/>
          <w:numId w:val="1001"/>
        </w:numPr>
      </w:pPr>
      <w:r>
        <w:t xml:space="preserve">Condizioni di attivazione delle wildcard</w:t>
      </w:r>
    </w:p>
    <w:p>
      <w:pPr>
        <w:pStyle w:val="Compact"/>
        <w:numPr>
          <w:ilvl w:val="0"/>
          <w:numId w:val="1001"/>
        </w:numPr>
      </w:pPr>
      <w:r>
        <w:t xml:space="preserve">Condizioni di vittoria e obiettivi di scenario</w:t>
      </w:r>
    </w:p>
    <w:p>
      <w:pPr>
        <w:pStyle w:val="Compact"/>
        <w:numPr>
          <w:ilvl w:val="0"/>
          <w:numId w:val="1001"/>
        </w:numPr>
      </w:pPr>
      <w:r>
        <w:t xml:space="preserve">Meccaniche oracolari per gioco solitario o cooperativo</w:t>
      </w:r>
    </w:p>
    <w:p>
      <w:pPr>
        <w:pStyle w:val="Compact"/>
        <w:numPr>
          <w:ilvl w:val="0"/>
          <w:numId w:val="1001"/>
        </w:numPr>
      </w:pPr>
      <w:r>
        <w:t xml:space="preserve">Quante carte vengono usate</w:t>
      </w:r>
    </w:p>
    <w:p>
      <w:pPr>
        <w:pStyle w:val="Compact"/>
        <w:numPr>
          <w:ilvl w:val="0"/>
          <w:numId w:val="1001"/>
        </w:numPr>
      </w:pPr>
      <w:r>
        <w:t xml:space="preserve">Come vengono distribuite le carte</w:t>
      </w:r>
    </w:p>
    <w:p>
      <w:pPr>
        <w:pStyle w:val="Compact"/>
        <w:numPr>
          <w:ilvl w:val="0"/>
          <w:numId w:val="1001"/>
        </w:numPr>
      </w:pPr>
      <w:r>
        <w:t xml:space="preserve">Il numero di giocatori</w:t>
      </w:r>
    </w:p>
    <w:bookmarkEnd w:id="9"/>
    <w:bookmarkEnd w:id="10"/>
    <w:bookmarkStart w:id="11" w:name="principi-di-design"/>
    <w:p>
      <w:pPr>
        <w:pStyle w:val="Heading2"/>
      </w:pPr>
      <w:r>
        <w:t xml:space="preserve">2. Principi di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Accessibilità materiale:</w:t>
      </w:r>
      <w:r>
        <w:t xml:space="preserve"> </w:t>
      </w:r>
      <w:r>
        <w:t xml:space="preserve">l’unico requisito fisico è un mazzo di carte francesi standard e due pennarelli permanenti (nero e rosso). Materiali disponibili ovunque, senza componenti proprietari o dedicati.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Additivo, non distruttivo:</w:t>
      </w:r>
      <w:r>
        <w:t xml:space="preserve"> </w:t>
      </w:r>
      <w:r>
        <w:t xml:space="preserve">le annotazioni aggiungono informazioni strutturali senza sovrascrivere il substrato ereditato.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Agnostico alla lingua:</w:t>
      </w:r>
      <w:r>
        <w:t xml:space="preserve"> </w:t>
      </w:r>
      <w:r>
        <w:t xml:space="preserve">nessun testo o lettera. Solo glifi geometrici e cifre arabiche.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Vincolo cromatico:</w:t>
      </w:r>
      <w:r>
        <w:t xml:space="preserve"> </w:t>
      </w:r>
      <w:r>
        <w:t xml:space="preserve">solo pennarello nero e rosso.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Uso duale:</w:t>
      </w:r>
      <w:r>
        <w:t xml:space="preserve"> </w:t>
      </w:r>
      <w:r>
        <w:t xml:space="preserve">le carte sono valide sia come informazione nascosta in mano sia come componenti fisici sul tavolo.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Dorso riservato ai marcatori di quadrante:</w:t>
      </w:r>
      <w:r>
        <w:t xml:space="preserve"> </w:t>
      </w:r>
      <w:r>
        <w:t xml:space="preserve">il dorso delle 52 carte regolari riceve esclusivamente i marcatori di quadrante — identici su tutte le carte, quindi privi di informazione differenziale. Nessun’altra annotazione sul dorso. L’uniformità preserva l’anonimità delle carte coperte.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Artefatto completo:</w:t>
      </w:r>
      <w:r>
        <w:t xml:space="preserve"> </w:t>
      </w:r>
      <w:r>
        <w:t xml:space="preserve">il mazzo DECK# è annotato integralmente prima di qualsiasi sessione di gioco. L’annotazione strutturale è permanente e fissa. Gli stati variabili si tracciano con token fisici, non con annotazioni.</w:t>
      </w:r>
    </w:p>
    <w:bookmarkEnd w:id="11"/>
    <w:bookmarkStart w:id="14" w:name="il-substrato-ereditato"/>
    <w:p>
      <w:pPr>
        <w:pStyle w:val="Heading2"/>
      </w:pPr>
      <w:r>
        <w:t xml:space="preserve">3. Il substrato ereditato</w:t>
      </w:r>
    </w:p>
    <w:bookmarkStart w:id="12" w:name="i-tre-assi"/>
    <w:p>
      <w:pPr>
        <w:pStyle w:val="Heading3"/>
      </w:pPr>
      <w:r>
        <w:t xml:space="preserve">3.1 I tre assi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</w:t>
            </w:r>
          </w:p>
        </w:tc>
        <w:tc>
          <w:tcPr/>
          <w:p>
            <w:pPr>
              <w:pStyle w:val="Compact"/>
            </w:pPr>
            <w:r>
              <w:t xml:space="preserve">Valori</w:t>
            </w:r>
          </w:p>
        </w:tc>
        <w:tc>
          <w:tcPr/>
          <w:p>
            <w:pPr>
              <w:pStyle w:val="Compact"/>
            </w:pPr>
            <w:r>
              <w:t xml:space="preserve">Natura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Colore</w:t>
            </w:r>
          </w:p>
        </w:tc>
        <w:tc>
          <w:tcPr/>
          <w:p>
            <w:pPr>
              <w:pStyle w:val="Compact"/>
            </w:pPr>
            <w:r>
              <w:t xml:space="preserve">Rosso / Nero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Polarità del seme</w:t>
            </w:r>
          </w:p>
        </w:tc>
        <w:tc>
          <w:tcPr/>
          <w:p>
            <w:pPr>
              <w:pStyle w:val="Compact"/>
            </w:pPr>
            <w:r>
              <w:t xml:space="preserve">Cuori vs Quadri (rosso) — Fiori vs Picche (nero)</w:t>
            </w:r>
          </w:p>
        </w:tc>
        <w:tc>
          <w:tcPr/>
          <w:p>
            <w:pPr>
              <w:pStyle w:val="Compact"/>
            </w:pPr>
            <w:r>
              <w:t xml:space="preserve">Binario interno al colore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</w:t>
            </w:r>
          </w:p>
        </w:tc>
        <w:tc>
          <w:tcPr/>
          <w:p>
            <w:pPr>
              <w:pStyle w:val="Compact"/>
            </w:pPr>
            <w:r>
              <w:t xml:space="preserve">A(1) — 2 — … — 10 — J — Q — K</w:t>
            </w:r>
          </w:p>
        </w:tc>
        <w:tc>
          <w:tcPr/>
          <w:p>
            <w:pPr>
              <w:pStyle w:val="Compact"/>
            </w:pPr>
            <w:r>
              <w:t xml:space="preserve">Scala ordinale, 13 gradi</w:t>
            </w:r>
          </w:p>
        </w:tc>
      </w:tr>
    </w:tbl>
    <w:p>
      <w:pPr>
        <w:pStyle w:val="BodyText"/>
      </w:pPr>
      <w:r>
        <w:t xml:space="preserve">Questi assi sono immutabili. Ogni gioco decide come mapparli a concetti di gioco; non può ridefinirli fisicamente sulla carta.</w:t>
      </w:r>
    </w:p>
    <w:bookmarkEnd w:id="12"/>
    <w:bookmarkStart w:id="13" w:name="note-sul-substrato"/>
    <w:p>
      <w:pPr>
        <w:pStyle w:val="Heading3"/>
      </w:pPr>
      <w:r>
        <w:t xml:space="preserve">3.2 Note sul substrato</w:t>
      </w:r>
    </w:p>
    <w:p>
      <w:pPr>
        <w:pStyle w:val="Compact"/>
        <w:numPr>
          <w:ilvl w:val="0"/>
          <w:numId w:val="1003"/>
        </w:numPr>
      </w:pPr>
      <w:r>
        <w:t xml:space="preserve">Le figure (J, Q, K) formano una sottoclasse del valore ordinale. Alcuni giochi potranno trattarle come categoria separata.</w:t>
      </w:r>
    </w:p>
    <w:p>
      <w:pPr>
        <w:pStyle w:val="Compact"/>
        <w:numPr>
          <w:ilvl w:val="0"/>
          <w:numId w:val="1003"/>
        </w:numPr>
      </w:pPr>
      <w:r>
        <w:t xml:space="preserve">Il Jolly non appartiene a nessuno dei tre assi. È strutturalmente fuori sistema per definizione. Vedi sezione 7.</w:t>
      </w:r>
    </w:p>
    <w:p>
      <w:pPr>
        <w:pStyle w:val="Compact"/>
        <w:numPr>
          <w:ilvl w:val="0"/>
          <w:numId w:val="1003"/>
        </w:numPr>
      </w:pPr>
      <w:r>
        <w:t xml:space="preserve">Il dorso della carta è una superficie esclusa dall’annotazione. Vedi Principio 5 (sezione 2).</w:t>
      </w:r>
    </w:p>
    <w:bookmarkEnd w:id="13"/>
    <w:bookmarkEnd w:id="14"/>
    <w:bookmarkStart w:id="20" w:name="il-vocabolario-grafico"/>
    <w:p>
      <w:pPr>
        <w:pStyle w:val="Heading2"/>
      </w:pPr>
      <w:r>
        <w:t xml:space="preserve">4. Il vocabolario grafico</w:t>
      </w:r>
    </w:p>
    <w:bookmarkStart w:id="15" w:name="principi"/>
    <w:p>
      <w:pPr>
        <w:pStyle w:val="Heading3"/>
      </w:pPr>
      <w:r>
        <w:t xml:space="preserve">4.1 Principi</w:t>
      </w:r>
    </w:p>
    <w:p>
      <w:pPr>
        <w:pStyle w:val="Compact"/>
        <w:numPr>
          <w:ilvl w:val="0"/>
          <w:numId w:val="1004"/>
        </w:numPr>
      </w:pPr>
      <w:r>
        <w:t xml:space="preserve">Tutti i glifi sono producibili con pochi tratti da chiunque, senza abilità grafica.</w:t>
      </w:r>
    </w:p>
    <w:p>
      <w:pPr>
        <w:pStyle w:val="Compact"/>
        <w:numPr>
          <w:ilvl w:val="0"/>
          <w:numId w:val="1004"/>
        </w:numPr>
      </w:pPr>
      <w:r>
        <w:t xml:space="preserve">L’unica risorsa cromatica aggiuntiva è il pennarello rosso. Il nero è il colore di default.</w:t>
      </w:r>
    </w:p>
    <w:p>
      <w:pPr>
        <w:pStyle w:val="Compact"/>
        <w:numPr>
          <w:ilvl w:val="0"/>
          <w:numId w:val="1004"/>
        </w:numPr>
      </w:pPr>
      <w:r>
        <w:t xml:space="preserve">Nessun testo. Nessun glifo che rimandi a un alfabeto specifico.</w:t>
      </w:r>
    </w:p>
    <w:p>
      <w:pPr>
        <w:pStyle w:val="Compact"/>
        <w:numPr>
          <w:ilvl w:val="0"/>
          <w:numId w:val="1004"/>
        </w:numPr>
      </w:pPr>
      <w:r>
        <w:t xml:space="preserve">I glifi non devono confondersi visivamente con i semi esistenti.</w:t>
      </w:r>
    </w:p>
    <w:bookmarkEnd w:id="15"/>
    <w:bookmarkStart w:id="16" w:name="glifi-primari"/>
    <w:p>
      <w:pPr>
        <w:pStyle w:val="Heading3"/>
      </w:pPr>
      <w:r>
        <w:t xml:space="preserve">4.2 Glifi primari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Glifo</w:t>
            </w:r>
          </w:p>
        </w:tc>
        <w:tc>
          <w:tcPr/>
          <w:p>
            <w:pPr>
              <w:pStyle w:val="Compact"/>
            </w:pPr>
            <w:r>
              <w:t xml:space="preserve">Tratti</w:t>
            </w:r>
          </w:p>
        </w:tc>
        <w:tc>
          <w:tcPr/>
          <w:p>
            <w:pPr>
              <w:pStyle w:val="Compact"/>
            </w:pPr>
            <w:r>
              <w:t xml:space="preserve">Semantiche naturali (non prescritte)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punto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presenza, attivazione, marcatore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linea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bordo, separazione,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croce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connessione, incrocio, unione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× diagonale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negazione, blocco, esclusione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△ triangolo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direzione, gerarchia, gradiente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○ cerchio</w:t>
            </w:r>
          </w:p>
        </w:tc>
        <w:tc>
          <w:tcPr/>
          <w:p>
            <w:pPr>
              <w:pStyle w:val="Compact"/>
            </w:pPr>
            <w:r>
              <w:t xml:space="preserve">1 curvo</w:t>
            </w:r>
          </w:p>
        </w:tc>
        <w:tc>
          <w:tcPr/>
          <w:p>
            <w:pPr>
              <w:pStyle w:val="Compact"/>
            </w:pPr>
            <w:r>
              <w:t xml:space="preserve">ciclo, contenimento, stato neutro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□ quadrato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zona, regione, spazio chiuso</w:t>
            </w:r>
          </w:p>
        </w:tc>
      </w:tr>
    </w:tbl>
    <w:p>
      <w:pPr>
        <w:pStyle w:val="BodyText"/>
      </w:pPr>
      <w:r>
        <w:t xml:space="preserve">Sette glifi. La colonna</w:t>
      </w:r>
      <w:r>
        <w:t xml:space="preserve"> </w:t>
      </w:r>
      <w:r>
        <w:t xml:space="preserve">“semantiche naturali”</w:t>
      </w:r>
      <w:r>
        <w:t xml:space="preserve"> </w:t>
      </w:r>
      <w:r>
        <w:t xml:space="preserve">suggerisce associazioni intuitive; non le prescrive.</w:t>
      </w:r>
    </w:p>
    <w:bookmarkEnd w:id="16"/>
    <w:bookmarkStart w:id="17" w:name="il-colore-dei-glifi-regola-contrastante"/>
    <w:p>
      <w:pPr>
        <w:pStyle w:val="Heading3"/>
      </w:pPr>
      <w:r>
        <w:t xml:space="preserve">4.3 Il colore dei glifi — regola contrastante</w:t>
      </w:r>
    </w:p>
    <w:p>
      <w:pPr>
        <w:pStyle w:val="FirstParagraph"/>
      </w:pPr>
      <w:r>
        <w:t xml:space="preserve">I glifi del primario e del modificatore sono tracciati nel colore</w:t>
      </w:r>
      <w:r>
        <w:t xml:space="preserve"> </w:t>
      </w:r>
      <w:r>
        <w:rPr>
          <w:b/>
          <w:bCs/>
        </w:rPr>
        <w:t xml:space="preserve">contrastante</w:t>
      </w:r>
      <w:r>
        <w:t xml:space="preserve"> </w:t>
      </w:r>
      <w:r>
        <w:t xml:space="preserve">rispetto al seme della carta:</w:t>
      </w:r>
    </w:p>
    <w:p>
      <w:pPr>
        <w:pStyle w:val="Compact"/>
        <w:numPr>
          <w:ilvl w:val="0"/>
          <w:numId w:val="1005"/>
        </w:numPr>
      </w:pPr>
      <w:r>
        <w:t xml:space="preserve">Carte rosse (♥ ♦): glifi in</w:t>
      </w:r>
      <w:r>
        <w:t xml:space="preserve"> </w:t>
      </w:r>
      <w:r>
        <w:rPr>
          <w:b/>
          <w:bCs/>
        </w:rPr>
        <w:t xml:space="preserve">nero</w:t>
      </w:r>
    </w:p>
    <w:p>
      <w:pPr>
        <w:pStyle w:val="Compact"/>
        <w:numPr>
          <w:ilvl w:val="0"/>
          <w:numId w:val="1005"/>
        </w:numPr>
      </w:pPr>
      <w:r>
        <w:t xml:space="preserve">Carte nere (♣ ♠): glifi in</w:t>
      </w:r>
      <w:r>
        <w:t xml:space="preserve"> </w:t>
      </w:r>
      <w:r>
        <w:rPr>
          <w:b/>
          <w:bCs/>
        </w:rPr>
        <w:t xml:space="preserve">rosso</w:t>
      </w:r>
    </w:p>
    <w:p>
      <w:pPr>
        <w:pStyle w:val="FirstParagraph"/>
      </w:pPr>
      <w:r>
        <w:t xml:space="preserve">Questa regola garantisce separazione visiva netta tra annotazione e substrato su tutte le carte. Il colore del glifo è interamente derivabile dal seme — non aggiunge informazione differenziale ma massimizza la leggibilità.</w:t>
      </w:r>
    </w:p>
    <w:bookmarkEnd w:id="17"/>
    <w:bookmarkStart w:id="18" w:name="glifi-numerici"/>
    <w:p>
      <w:pPr>
        <w:pStyle w:val="Heading3"/>
      </w:pPr>
      <w:r>
        <w:t xml:space="preserve">4.4 Glifi numerici</w:t>
      </w:r>
    </w:p>
    <w:p>
      <w:pPr>
        <w:pStyle w:val="FirstParagraph"/>
      </w:pPr>
      <w:r>
        <w:t xml:space="preserve">Le cifre 0–9 (arabiche) possono essere usate nelle zone annotabili come quantità, livelli, contatori. Si combinano con il colore seguendo la stessa logica dei glifi primari.</w:t>
      </w:r>
    </w:p>
    <w:bookmarkEnd w:id="18"/>
    <w:bookmarkStart w:id="19" w:name="conflitti-visivi-da-evitare"/>
    <w:p>
      <w:pPr>
        <w:pStyle w:val="Heading3"/>
      </w:pPr>
      <w:r>
        <w:t xml:space="preserve">4.5 Conflitti visivi da evitare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Seme</w:t>
            </w:r>
          </w:p>
        </w:tc>
        <w:tc>
          <w:tcPr/>
          <w:p>
            <w:pPr>
              <w:pStyle w:val="Compact"/>
            </w:pPr>
            <w:r>
              <w:t xml:space="preserve">Forma riservata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Cuori</w:t>
            </w:r>
          </w:p>
        </w:tc>
        <w:tc>
          <w:tcPr/>
          <w:p>
            <w:pPr>
              <w:pStyle w:val="Compact"/>
            </w:pPr>
            <w:r>
              <w:t xml:space="preserve">Forma a cuore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Quadri</w:t>
            </w:r>
          </w:p>
        </w:tc>
        <w:tc>
          <w:tcPr/>
          <w:p>
            <w:pPr>
              <w:pStyle w:val="Compact"/>
            </w:pPr>
            <w:r>
              <w:t xml:space="preserve">Rombo pieno o vuoto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Fiori</w:t>
            </w:r>
          </w:p>
        </w:tc>
        <w:tc>
          <w:tcPr/>
          <w:p>
            <w:pPr>
              <w:pStyle w:val="Compact"/>
            </w:pPr>
            <w:r>
              <w:t xml:space="preserve">Trifoglio / forma a tre lobi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Picche</w:t>
            </w:r>
          </w:p>
        </w:tc>
        <w:tc>
          <w:tcPr/>
          <w:p>
            <w:pPr>
              <w:pStyle w:val="Compact"/>
            </w:pPr>
            <w:r>
              <w:t xml:space="preserve">Picca / cuore invertito con gambo</w:t>
            </w:r>
          </w:p>
        </w:tc>
      </w:tr>
    </w:tbl>
    <w:p>
      <w:pPr>
        <w:pStyle w:val="BodyText"/>
      </w:pPr>
      <w:r>
        <w:t xml:space="preserve">Il quadrato □ e il cerchio ○ non confliggono con nessun seme. Il triangolo △ è sicuro se tracciato piccolo e in posizione angolare.</w:t>
      </w:r>
    </w:p>
    <w:bookmarkEnd w:id="19"/>
    <w:bookmarkEnd w:id="20"/>
    <w:bookmarkStart w:id="21" w:name="le-zone-annotabili"/>
    <w:p>
      <w:pPr>
        <w:pStyle w:val="Heading2"/>
      </w:pPr>
      <w:r>
        <w:t xml:space="preserve">5. Le zone annotabili</w:t>
      </w:r>
    </w:p>
    <w:p>
      <w:pPr>
        <w:pStyle w:val="SourceCode"/>
      </w:pPr>
      <w:r>
        <w:rPr>
          <w:rStyle w:val="VerbatimChar"/>
        </w:rPr>
        <w:t xml:space="preserve">[NW] ----[N]---- [NE]</w:t>
      </w:r>
      <w:r>
        <w:br/>
      </w:r>
      <w:r>
        <w:rPr>
          <w:rStyle w:val="VerbatimChar"/>
        </w:rPr>
        <w:t xml:space="preserve">  |               |</w:t>
      </w:r>
      <w:r>
        <w:br/>
      </w:r>
      <w:r>
        <w:rPr>
          <w:rStyle w:val="VerbatimChar"/>
        </w:rPr>
        <w:t xml:space="preserve"> [W]  [centro]  [E]</w:t>
      </w:r>
      <w:r>
        <w:br/>
      </w:r>
      <w:r>
        <w:rPr>
          <w:rStyle w:val="VerbatimChar"/>
        </w:rPr>
        <w:t xml:space="preserve">  |               |</w:t>
      </w:r>
      <w:r>
        <w:br/>
      </w:r>
      <w:r>
        <w:rPr>
          <w:rStyle w:val="VerbatimChar"/>
        </w:rPr>
        <w:t xml:space="preserve">[SW] ----[S]---- [SE]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Posizione</w:t>
            </w:r>
          </w:p>
        </w:tc>
        <w:tc>
          <w:tcPr/>
          <w:p>
            <w:pPr>
              <w:pStyle w:val="Compact"/>
            </w:pPr>
            <w:r>
              <w:t xml:space="preserve">Annotazione DECK#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Bordo medio inferiore (interno)</w:t>
            </w:r>
          </w:p>
        </w:tc>
        <w:tc>
          <w:tcPr/>
          <w:p>
            <w:pPr>
              <w:pStyle w:val="Compact"/>
            </w:pPr>
            <w:r>
              <w:t xml:space="preserve">Glifo primario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Bordo medio superiore (interno)</w:t>
            </w:r>
          </w:p>
        </w:tc>
        <w:tc>
          <w:tcPr/>
          <w:p>
            <w:pPr>
              <w:pStyle w:val="Compact"/>
            </w:pPr>
            <w:r>
              <w:t xml:space="preserve">Speculare del primario — hand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Angolo superiore destro</w:t>
            </w:r>
          </w:p>
        </w:tc>
        <w:tc>
          <w:tcPr/>
          <w:p>
            <w:pPr>
              <w:pStyle w:val="Compact"/>
            </w:pPr>
            <w:r>
              <w:t xml:space="preserve">Glifo modificatore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</w:t>
            </w:r>
          </w:p>
        </w:tc>
        <w:tc>
          <w:tcPr/>
          <w:p>
            <w:pPr>
              <w:pStyle w:val="Compact"/>
            </w:pPr>
            <w:r>
              <w:t xml:space="preserve">Angolo inferiore sinistro</w:t>
            </w:r>
          </w:p>
        </w:tc>
        <w:tc>
          <w:tcPr/>
          <w:p>
            <w:pPr>
              <w:pStyle w:val="Compact"/>
            </w:pPr>
            <w:r>
              <w:t xml:space="preserve">Speculare del modificatore — hand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Angolo inferiore destro</w:t>
            </w:r>
          </w:p>
        </w:tc>
        <w:tc>
          <w:tcPr/>
          <w:p>
            <w:pPr>
              <w:pStyle w:val="Compact"/>
            </w:pPr>
            <w:r>
              <w:t xml:space="preserve">Punto orientamento (polo nord)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</w:t>
            </w:r>
          </w:p>
        </w:tc>
        <w:tc>
          <w:tcPr/>
          <w:p>
            <w:pPr>
              <w:pStyle w:val="Compact"/>
            </w:pPr>
            <w:r>
              <w:t xml:space="preserve">Angolo superiore sinistro</w:t>
            </w:r>
          </w:p>
        </w:tc>
        <w:tc>
          <w:tcPr/>
          <w:p>
            <w:pPr>
              <w:pStyle w:val="Compact"/>
            </w:pPr>
            <w:r>
              <w:t xml:space="preserve">Riservato — indice pre-stampato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Centro / E / 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 occupati dall’annotazione DECK#</w:t>
            </w:r>
          </w:p>
        </w:tc>
      </w:tr>
    </w:tbl>
    <w:p>
      <w:pPr>
        <w:pStyle w:val="BodyText"/>
      </w:pPr>
      <w:r>
        <w:rPr>
          <w:b/>
          <w:bCs/>
        </w:rPr>
        <w:t xml:space="preserve">Bordi fisici:</w:t>
      </w:r>
      <w:r>
        <w:t xml:space="preserve"> </w:t>
      </w:r>
      <w:r>
        <w:t xml:space="preserve">i marcatori di connettività occupano il margine bianco esterno della carta (~3–4 mm) — fisicamente separati dalle zone interne.</w:t>
      </w:r>
    </w:p>
    <w:p>
      <w:pPr>
        <w:pStyle w:val="BodyText"/>
      </w:pPr>
      <w:r>
        <w:rPr>
          <w:b/>
          <w:bCs/>
        </w:rPr>
        <w:t xml:space="preserve">Regola del posizionamento simmetrico:</w:t>
      </w:r>
      <w:r>
        <w:t xml:space="preserve"> </w:t>
      </w:r>
      <w:r>
        <w:t xml:space="preserve">ogni glifo compare in due posizioni speculari — zona primaria e zona speculare. Garantisce leggibilità a ventaglio indipendentemente dall’orientamento della carta in mano.</w:t>
      </w:r>
    </w:p>
    <w:p>
      <w:pPr>
        <w:pStyle w:val="BodyText"/>
      </w:pPr>
      <w:r>
        <w:rPr>
          <w:b/>
          <w:bCs/>
        </w:rPr>
        <w:t xml:space="preserve">Nota su NW:</w:t>
      </w:r>
      <w:r>
        <w:t xml:space="preserve"> </w:t>
      </w:r>
      <w:r>
        <w:t xml:space="preserve">angolo parzialmente occupato dall’indice pre-stampato. Nessuna annotazione DECK# in questa zona.</w:t>
      </w:r>
    </w:p>
    <w:bookmarkEnd w:id="21"/>
    <w:bookmarkStart w:id="27" w:name="il-sistema-spaziale"/>
    <w:p>
      <w:pPr>
        <w:pStyle w:val="Heading2"/>
      </w:pPr>
      <w:r>
        <w:t xml:space="preserve">6. Il sistema spaziale</w:t>
      </w:r>
    </w:p>
    <w:bookmarkStart w:id="22" w:name="il-problema-della-simmetria"/>
    <w:p>
      <w:pPr>
        <w:pStyle w:val="Heading3"/>
      </w:pPr>
      <w:r>
        <w:t xml:space="preserve">6.1 Il problema della simmetria</w:t>
      </w:r>
    </w:p>
    <w:p>
      <w:pPr>
        <w:pStyle w:val="FirstParagraph"/>
      </w:pPr>
      <w:r>
        <w:t xml:space="preserve">Le carte standard hanno simmetria verticale: si leggono uguale capovolte. Non appena un gioco introduce elementi spaziali, questa simmetria deve essere rotta esplicitamente.</w:t>
      </w:r>
    </w:p>
    <w:bookmarkEnd w:id="22"/>
    <w:bookmarkStart w:id="23" w:name="la-convenzione-del-polo-nord"/>
    <w:p>
      <w:pPr>
        <w:pStyle w:val="Heading3"/>
      </w:pPr>
      <w:r>
        <w:t xml:space="preserve">6.2 La convenzione del polo nord</w:t>
      </w:r>
    </w:p>
    <w:p>
      <w:pPr>
        <w:pStyle w:val="FirstParagraph"/>
      </w:pPr>
      <w:r>
        <w:t xml:space="preserve">Il polo nord di una carta è il lato con l’indice in posizione canonica (NW in alto a sinistra). Pratica consigliata per sessioni con elementi spaziali: tracciare un punto piccolo nell’angolo SE prima dell’inizio — angolo libero dalla stampa, asimmetrico rispetto all’indice NW.</w:t>
      </w:r>
    </w:p>
    <w:bookmarkEnd w:id="23"/>
    <w:bookmarkStart w:id="24" w:name="marcatori-di-bordo"/>
    <w:p>
      <w:pPr>
        <w:pStyle w:val="Heading3"/>
      </w:pPr>
      <w:r>
        <w:t xml:space="preserve">6.3 Marcatori di bordo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Marcatura</w:t>
            </w:r>
          </w:p>
        </w:tc>
        <w:tc>
          <w:tcPr/>
          <w:p>
            <w:pPr>
              <w:pStyle w:val="Compact"/>
            </w:pPr>
            <w:r>
              <w:t xml:space="preserve">Significato strutturale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 spessa a tutto bordo</w:t>
            </w:r>
          </w:p>
        </w:tc>
        <w:tc>
          <w:tcPr/>
          <w:p>
            <w:pPr>
              <w:pStyle w:val="Compact"/>
            </w:pPr>
            <w:r>
              <w:t xml:space="preserve">Muro: passaggio chiuso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Bordo non marcato</w:t>
            </w:r>
          </w:p>
        </w:tc>
        <w:tc>
          <w:tcPr/>
          <w:p>
            <w:pPr>
              <w:pStyle w:val="Compact"/>
            </w:pPr>
            <w:r>
              <w:t xml:space="preserve">Aperto: connesso, attraversabile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- a metà bordo</w:t>
            </w:r>
          </w:p>
        </w:tc>
        <w:tc>
          <w:tcPr/>
          <w:p>
            <w:pPr>
              <w:pStyle w:val="Compact"/>
            </w:pPr>
            <w:r>
              <w:t xml:space="preserve">Soglia: stato intermedio, definito dal gioco</w:t>
            </w:r>
          </w:p>
        </w:tc>
      </w:tr>
    </w:tbl>
    <w:p>
      <w:pPr>
        <w:pStyle w:val="BodyText"/>
      </w:pPr>
      <w:r>
        <w:t xml:space="preserve">Accostando le carte sul tavolo, i bordi a contatto si leggono come interfaccia tra due spazi.</w:t>
      </w:r>
    </w:p>
    <w:bookmarkEnd w:id="24"/>
    <w:bookmarkStart w:id="25" w:name="marcatori-di-quadrante"/>
    <w:p>
      <w:pPr>
        <w:pStyle w:val="Heading3"/>
      </w:pPr>
      <w:r>
        <w:t xml:space="preserve">6.4 Marcatori di quadrante</w:t>
      </w:r>
    </w:p>
    <w:p>
      <w:pPr>
        <w:pStyle w:val="FirstParagraph"/>
      </w:pPr>
      <w:r>
        <w:t xml:space="preserve">I marcatori di quadrante si trovano sul</w:t>
      </w:r>
      <w:r>
        <w:t xml:space="preserve"> </w:t>
      </w:r>
      <w:r>
        <w:rPr>
          <w:b/>
          <w:bCs/>
        </w:rPr>
        <w:t xml:space="preserve">dorso</w:t>
      </w:r>
      <w:r>
        <w:t xml:space="preserve"> </w:t>
      </w:r>
      <w:r>
        <w:t xml:space="preserve">delle 52 carte regolari. Sono identici su tutte le carte — non rivelano alcuna informazione differenziale quando la carta è coperta.</w:t>
      </w:r>
    </w:p>
    <w:p>
      <w:pPr>
        <w:pStyle w:val="BodyText"/>
      </w:pPr>
      <w:r>
        <w:t xml:space="preserve">Sono disponibili due varianti; la scelta è lasciata a chi annota il mazzo:</w:t>
      </w:r>
    </w:p>
    <w:p>
      <w:pPr>
        <w:pStyle w:val="BodyText"/>
      </w:pPr>
      <w:r>
        <w:rPr>
          <w:b/>
          <w:bCs/>
        </w:rPr>
        <w:t xml:space="preserve">Variante minima</w:t>
      </w:r>
      <w:r>
        <w:t xml:space="preserve"> </w:t>
      </w:r>
      <w:r>
        <w:t xml:space="preserve">— quattro segmenti corti dal punto medio di ciascun bordo verso l’interno, senza attraversare il centro:</w:t>
      </w:r>
    </w:p>
    <w:p>
      <w:pPr>
        <w:pStyle w:val="SourceCode"/>
      </w:pP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—     —</w:t>
      </w:r>
      <w:r>
        <w:br/>
      </w:r>
      <w:r>
        <w:rPr>
          <w:rStyle w:val="VerbatimChar"/>
        </w:rPr>
        <w:t xml:space="preserve">      |</w:t>
      </w:r>
    </w:p>
    <w:p>
      <w:pPr>
        <w:pStyle w:val="FirstParagraph"/>
      </w:pPr>
      <w:r>
        <w:rPr>
          <w:b/>
          <w:bCs/>
        </w:rPr>
        <w:t xml:space="preserve">Variante estesa</w:t>
      </w:r>
      <w:r>
        <w:t xml:space="preserve"> </w:t>
      </w:r>
      <w:r>
        <w:t xml:space="preserve">— croce completa da bordo a bordo (</w:t>
      </w:r>
      <w:r>
        <w:rPr>
          <w:rStyle w:val="VerbatimChar"/>
        </w:rPr>
        <w:t xml:space="preserve">+</w:t>
      </w:r>
      <w:r>
        <w:t xml:space="preserve"> </w:t>
      </w:r>
      <w:r>
        <w:t xml:space="preserve">del vocabolario DECK#, applicato al dorso con funzione strutturale fissa):</w:t>
      </w:r>
    </w:p>
    <w:p>
      <w:pPr>
        <w:pStyle w:val="SourceCode"/>
      </w:pP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————+————</w:t>
      </w:r>
      <w:r>
        <w:br/>
      </w:r>
      <w:r>
        <w:rPr>
          <w:rStyle w:val="VerbatimChar"/>
        </w:rPr>
        <w:t xml:space="preserve">      |</w:t>
      </w:r>
    </w:p>
    <w:p>
      <w:pPr>
        <w:pStyle w:val="FirstParagraph"/>
      </w:pPr>
      <w:r>
        <w:t xml:space="preserve">Entrambe le varianti sono tracciate in nero. I Jolly ricevono i marcatori di quadrante sul dorso — identici a quelli delle 52 carte regolari — ma non ricevono alcuna annotazione sul recto oltre al punto SE.</w:t>
      </w:r>
    </w:p>
    <w:bookmarkEnd w:id="25"/>
    <w:bookmarkStart w:id="26" w:name="direzione-interna"/>
    <w:p>
      <w:pPr>
        <w:pStyle w:val="Heading3"/>
      </w:pPr>
      <w:r>
        <w:t xml:space="preserve">6.5 Direzione interna</w:t>
      </w:r>
    </w:p>
    <w:p>
      <w:pPr>
        <w:pStyle w:val="FirstParagraph"/>
      </w:pPr>
      <w:r>
        <w:t xml:space="preserve">Il triangolo △ in una zona angolare indica direzione. L’orientamento dell’apice rispetto al polo nord definisce il vettore.</w:t>
      </w:r>
    </w:p>
    <w:bookmarkEnd w:id="26"/>
    <w:bookmarkEnd w:id="27"/>
    <w:bookmarkStart w:id="28" w:name="i-jolly"/>
    <w:p>
      <w:pPr>
        <w:pStyle w:val="Heading2"/>
      </w:pPr>
      <w:r>
        <w:t xml:space="preserve">7. I Jolly</w:t>
      </w:r>
    </w:p>
    <w:p>
      <w:pPr>
        <w:pStyle w:val="FirstParagraph"/>
      </w:pPr>
      <w:r>
        <w:t xml:space="preserve">I Jolly ricevono il</w:t>
      </w:r>
      <w:r>
        <w:t xml:space="preserve"> </w:t>
      </w:r>
      <w:r>
        <w:rPr>
          <w:b/>
          <w:bCs/>
        </w:rPr>
        <w:t xml:space="preserve">punto SE</w:t>
      </w:r>
      <w:r>
        <w:t xml:space="preserve"> </w:t>
      </w:r>
      <w:r>
        <w:t xml:space="preserve">(polo nord) sul recto e i</w:t>
      </w:r>
      <w:r>
        <w:t xml:space="preserve"> </w:t>
      </w:r>
      <w:r>
        <w:rPr>
          <w:b/>
          <w:bCs/>
        </w:rPr>
        <w:t xml:space="preserve">marcatori di quadrante</w:t>
      </w:r>
      <w:r>
        <w:t xml:space="preserve"> </w:t>
      </w:r>
      <w:r>
        <w:t xml:space="preserve">sul dorso. Nessun altro elemento strutturale: nessun marcatore di connettività, nessun glifo primario, nessun modificatore.</w:t>
      </w:r>
    </w:p>
    <w:p>
      <w:pPr>
        <w:pStyle w:val="BodyText"/>
      </w:pPr>
      <w:r>
        <w:t xml:space="preserve">Sono</w:t>
      </w:r>
      <w:r>
        <w:t xml:space="preserve"> </w:t>
      </w:r>
      <w:r>
        <w:rPr>
          <w:b/>
          <w:bCs/>
        </w:rPr>
        <w:t xml:space="preserve">variabili non istanziate</w:t>
      </w:r>
      <w:r>
        <w:t xml:space="preserve">: nessuna semantica pre-assegnata dalla specifica. Il gioco decide tutto. Un gioco può usare zero, uno o entrambi i Jolly.</w:t>
      </w:r>
    </w:p>
    <w:p>
      <w:pPr>
        <w:pStyle w:val="BodyText"/>
      </w:pPr>
      <w:r>
        <w:t xml:space="preserve">Usi possibili (non prescritti): wildcard meccanica, carta evento, tracciatore di stato globale, Jolly di categoria.</w:t>
      </w:r>
    </w:p>
    <w:bookmarkEnd w:id="28"/>
    <w:bookmarkStart w:id="31" w:name="profili-di-utilizzo"/>
    <w:p>
      <w:pPr>
        <w:pStyle w:val="Heading2"/>
      </w:pPr>
      <w:r>
        <w:t xml:space="preserve">8. Profili di utilizzo</w:t>
      </w:r>
    </w:p>
    <w:bookmarkStart w:id="29" w:name="profilo-base"/>
    <w:p>
      <w:pPr>
        <w:pStyle w:val="Heading3"/>
      </w:pPr>
      <w:r>
        <w:t xml:space="preserve">Profilo Base</w:t>
      </w:r>
    </w:p>
    <w:p>
      <w:pPr>
        <w:pStyle w:val="FirstParagraph"/>
      </w:pPr>
      <w:r>
        <w:t xml:space="preserve">Gioco di carte puro, gestione della mano, narrativa, scenari solitario.</w:t>
      </w:r>
    </w:p>
    <w:p>
      <w:pPr>
        <w:pStyle w:val="BodyText"/>
      </w:pPr>
      <w:r>
        <w:rPr>
          <w:b/>
          <w:bCs/>
        </w:rPr>
        <w:t xml:space="preserve">Componenti:</w:t>
      </w:r>
      <w:r>
        <w:t xml:space="preserve"> </w:t>
      </w:r>
      <w:r>
        <w:t xml:space="preserve">1 mazzo annotato (52 + 2) · 1 pennarello nero permanente fine · 1 pennarello rosso permanente fine.</w:t>
      </w:r>
      <w:r>
        <w:t xml:space="preserve"> </w:t>
      </w:r>
      <w:r>
        <w:t xml:space="preserve">Tempo di annotazione stimato: 15–20 minuti.</w:t>
      </w:r>
    </w:p>
    <w:bookmarkEnd w:id="29"/>
    <w:bookmarkStart w:id="30" w:name="profilo-esteso"/>
    <w:p>
      <w:pPr>
        <w:pStyle w:val="Heading3"/>
      </w:pPr>
      <w:r>
        <w:t xml:space="preserve">Profilo Esteso</w:t>
      </w:r>
    </w:p>
    <w:p>
      <w:pPr>
        <w:pStyle w:val="FirstParagraph"/>
      </w:pPr>
      <w:r>
        <w:t xml:space="preserve">Gioco tattico su griglia, dungeon crawler, skirmish, wargame.</w:t>
      </w:r>
    </w:p>
    <w:p>
      <w:pPr>
        <w:pStyle w:val="BodyText"/>
      </w:pPr>
      <w:r>
        <w:rPr>
          <w:b/>
          <w:bCs/>
        </w:rPr>
        <w:t xml:space="preserve">Componenti aggiuntivi:</w:t>
      </w:r>
      <w:r>
        <w:t xml:space="preserve"> </w:t>
      </w:r>
      <w:r>
        <w:t xml:space="preserve">6 dadi d6 · 12 segnalini in 4 gruppi distinti (3 per gruppo; sostituibili con monete, cubetti, qualsiasi oggetto distinguibile).</w:t>
      </w:r>
    </w:p>
    <w:p>
      <w:pPr>
        <w:pStyle w:val="BodyText"/>
      </w:pPr>
      <w:r>
        <w:t xml:space="preserve">Uso dadi: 2d6 per risoluzione, fino a 4d6 come contatori su carta. Uso segnalini: posizionati sulle carte per rappresentare entità senza coprire le annotazioni.</w:t>
      </w:r>
    </w:p>
    <w:bookmarkEnd w:id="30"/>
    <w:bookmarkEnd w:id="31"/>
    <w:bookmarkStart w:id="36" w:name="modalità-duso-delle-carte"/>
    <w:p>
      <w:pPr>
        <w:pStyle w:val="Heading2"/>
      </w:pPr>
      <w:r>
        <w:t xml:space="preserve">9. Modalità d’uso delle carte</w:t>
      </w:r>
    </w:p>
    <w:bookmarkStart w:id="32" w:name="tile-mode"/>
    <w:p>
      <w:pPr>
        <w:pStyle w:val="Heading3"/>
      </w:pPr>
      <w:r>
        <w:t xml:space="preserve">9.1 Tile mode</w:t>
      </w:r>
    </w:p>
    <w:p>
      <w:pPr>
        <w:pStyle w:val="FirstParagraph"/>
      </w:pPr>
      <w:r>
        <w:t xml:space="preserve">Carta sul tavolo, visibile a tutti, posizione fissa. Elementi spaziali attivi.</w:t>
      </w:r>
    </w:p>
    <w:bookmarkEnd w:id="32"/>
    <w:bookmarkStart w:id="33" w:name="hand-mode"/>
    <w:p>
      <w:pPr>
        <w:pStyle w:val="Heading3"/>
      </w:pPr>
      <w:r>
        <w:t xml:space="preserve">9.2 Hand mode</w:t>
      </w:r>
    </w:p>
    <w:p>
      <w:pPr>
        <w:pStyle w:val="FirstParagraph"/>
      </w:pPr>
      <w:r>
        <w:t xml:space="preserve">Carta in mano, nascosta. Elementi spaziali generalmente inattivi. Annotazioni devono seguire la regola del posizionamento simmetrico (sezione 5).</w:t>
      </w:r>
    </w:p>
    <w:bookmarkEnd w:id="33"/>
    <w:bookmarkStart w:id="34" w:name="transizione-hand-tile"/>
    <w:p>
      <w:pPr>
        <w:pStyle w:val="Heading3"/>
      </w:pPr>
      <w:r>
        <w:t xml:space="preserve">9.3 Transizione hand → tile</w:t>
      </w:r>
    </w:p>
    <w:p>
      <w:pPr>
        <w:pStyle w:val="FirstParagraph"/>
      </w:pPr>
      <w:r>
        <w:t xml:space="preserve">Il gioco deve specificare:</w:t>
      </w:r>
    </w:p>
    <w:p>
      <w:pPr>
        <w:pStyle w:val="Compact"/>
        <w:numPr>
          <w:ilvl w:val="0"/>
          <w:numId w:val="1006"/>
        </w:numPr>
      </w:pPr>
      <w:r>
        <w:t xml:space="preserve">Se la carta viene posata coperta o scoperta</w:t>
      </w:r>
    </w:p>
    <w:p>
      <w:pPr>
        <w:pStyle w:val="Compact"/>
        <w:numPr>
          <w:ilvl w:val="0"/>
          <w:numId w:val="1006"/>
        </w:numPr>
      </w:pPr>
      <w:r>
        <w:t xml:space="preserve">Se l’orientamento (polo nord) è scelto dal giocatore o fisso</w:t>
      </w:r>
    </w:p>
    <w:p>
      <w:pPr>
        <w:pStyle w:val="Compact"/>
        <w:numPr>
          <w:ilvl w:val="0"/>
          <w:numId w:val="1006"/>
        </w:numPr>
      </w:pPr>
      <w:r>
        <w:t xml:space="preserve">Se le annotazioni spaziali diventano attive immediatamente o in un momento successivo</w:t>
      </w:r>
    </w:p>
    <w:bookmarkEnd w:id="34"/>
    <w:bookmarkStart w:id="35" w:name="annotazione"/>
    <w:p>
      <w:pPr>
        <w:pStyle w:val="Heading3"/>
      </w:pPr>
      <w:r>
        <w:t xml:space="preserve">9.4 Annotazione</w:t>
      </w:r>
    </w:p>
    <w:p>
      <w:pPr>
        <w:pStyle w:val="FirstParagraph"/>
      </w:pPr>
      <w:r>
        <w:t xml:space="preserve">Il mazzo DECK# viene annotato integralmente una volta, seguendo la matrice di annotazione (sezione 13), e usato in più sessioni senza modifiche. L’annotazione strutturale è permanente.</w:t>
      </w:r>
    </w:p>
    <w:p>
      <w:pPr>
        <w:pStyle w:val="BodyText"/>
      </w:pPr>
      <w:r>
        <w:t xml:space="preserve">Non è prevista annotazione durante il gioco per il layer strutturale. Gli stati variabili della partita si tracciano esclusivamente con token fisici rimovibili (dadi, segnalini, monete).</w:t>
      </w:r>
    </w:p>
    <w:bookmarkEnd w:id="35"/>
    <w:bookmarkEnd w:id="36"/>
    <w:bookmarkStart w:id="37" w:name="gerarchia-fisica"/>
    <w:p>
      <w:pPr>
        <w:pStyle w:val="Heading2"/>
      </w:pPr>
      <w:r>
        <w:t xml:space="preserve">10. Gerarchia fisica</w:t>
      </w:r>
    </w:p>
    <w:p>
      <w:pPr>
        <w:pStyle w:val="FirstParagraph"/>
      </w:pPr>
      <w:r>
        <w:t xml:space="preserve">Le 52 carte regolari hanno annotazioni su entrambe le facce. I Jolly hanno annotazioni sul dorso e solo il punto SE sul recto.</w:t>
      </w:r>
    </w:p>
    <w:p>
      <w:pPr>
        <w:pStyle w:val="BodyText"/>
      </w:pPr>
      <w:r>
        <w:rPr>
          <w:b/>
          <w:bCs/>
        </w:rPr>
        <w:t xml:space="preserve">Recto (52 carte regolari):</w:t>
      </w:r>
    </w:p>
    <w:p>
      <w:pPr>
        <w:pStyle w:val="Compact"/>
        <w:numPr>
          <w:ilvl w:val="0"/>
          <w:numId w:val="1007"/>
        </w:numPr>
      </w:pPr>
      <w:r>
        <w:t xml:space="preserve">Substrato ereditato (stampa originale): sempre visibile, mai coperto intenzionalmente</w:t>
      </w:r>
    </w:p>
    <w:p>
      <w:pPr>
        <w:pStyle w:val="Compact"/>
        <w:numPr>
          <w:ilvl w:val="0"/>
          <w:numId w:val="1007"/>
        </w:numPr>
      </w:pPr>
      <w:r>
        <w:t xml:space="preserve">Annotazione strutturale DECK#: connettività sui bordi fisici, glifo primario in zona S/N, modificatore in zona NE/SW, punto polo nord in SE</w:t>
      </w:r>
    </w:p>
    <w:p>
      <w:pPr>
        <w:pStyle w:val="Compact"/>
        <w:numPr>
          <w:ilvl w:val="0"/>
          <w:numId w:val="1007"/>
        </w:numPr>
      </w:pPr>
      <w:r>
        <w:t xml:space="preserve">Token fisici: oggetti posizionati sulla carta, rimuovibili</w:t>
      </w:r>
    </w:p>
    <w:p>
      <w:pPr>
        <w:pStyle w:val="FirstParagraph"/>
      </w:pPr>
      <w:r>
        <w:rPr>
          <w:b/>
          <w:bCs/>
        </w:rPr>
        <w:t xml:space="preserve">Dorso (tutte le 54 carte):</w:t>
      </w:r>
    </w:p>
    <w:p>
      <w:pPr>
        <w:pStyle w:val="Compact"/>
        <w:numPr>
          <w:ilvl w:val="0"/>
          <w:numId w:val="1008"/>
        </w:numPr>
      </w:pPr>
      <w:r>
        <w:t xml:space="preserve">Marcatori di quadrante (variante minima o estesa) — identici su tutte le carte</w:t>
      </w:r>
    </w:p>
    <w:p>
      <w:pPr>
        <w:pStyle w:val="FirstParagraph"/>
      </w:pPr>
      <w:r>
        <w:t xml:space="preserve">L’annotazione strutturale è fissa e completa. Nessuna zona del recto prevede più di un glifo DECK# per volta.</w:t>
      </w:r>
    </w:p>
    <w:bookmarkEnd w:id="37"/>
    <w:bookmarkStart w:id="38" w:name="responsabilità-del-designer"/>
    <w:p>
      <w:pPr>
        <w:pStyle w:val="Heading2"/>
      </w:pPr>
      <w:r>
        <w:t xml:space="preserve">11. Responsabilità del designer</w:t>
      </w:r>
    </w:p>
    <w:p>
      <w:pPr>
        <w:pStyle w:val="FirstParagraph"/>
      </w:pPr>
      <w:r>
        <w:t xml:space="preserve">Ogni gioco costruito su DECK# deve specificare:</w:t>
      </w:r>
    </w:p>
    <w:p>
      <w:pPr>
        <w:pStyle w:val="Compact"/>
        <w:numPr>
          <w:ilvl w:val="0"/>
          <w:numId w:val="1009"/>
        </w:numPr>
      </w:pPr>
      <w:r>
        <w:t xml:space="preserve">Come mappa i tre assi ereditati (valore, colore, seme) a concetti di gioco</w:t>
      </w:r>
    </w:p>
    <w:p>
      <w:pPr>
        <w:pStyle w:val="Compact"/>
        <w:numPr>
          <w:ilvl w:val="0"/>
          <w:numId w:val="1009"/>
        </w:numPr>
      </w:pPr>
      <w:r>
        <w:t xml:space="preserve">Quale semantica assegna ai glifi del vocabolario DECK# (primario e modificatore)</w:t>
      </w:r>
    </w:p>
    <w:p>
      <w:pPr>
        <w:pStyle w:val="Compact"/>
        <w:numPr>
          <w:ilvl w:val="0"/>
          <w:numId w:val="1009"/>
        </w:numPr>
      </w:pPr>
      <w:r>
        <w:t xml:space="preserve">Come interpreta il sistema spaziale: orientamento, polo nord, connettività</w:t>
      </w:r>
    </w:p>
    <w:p>
      <w:pPr>
        <w:pStyle w:val="Compact"/>
        <w:numPr>
          <w:ilvl w:val="0"/>
          <w:numId w:val="1009"/>
        </w:numPr>
      </w:pPr>
      <w:r>
        <w:t xml:space="preserve">Come interpreta i marcatori di quadrante (presenti su tutte le carte)</w:t>
      </w:r>
    </w:p>
    <w:p>
      <w:pPr>
        <w:pStyle w:val="Compact"/>
        <w:numPr>
          <w:ilvl w:val="0"/>
          <w:numId w:val="1009"/>
        </w:numPr>
      </w:pPr>
      <w:r>
        <w:t xml:space="preserve">Se usa i Jolly e con quale ruolo</w:t>
      </w:r>
    </w:p>
    <w:p>
      <w:pPr>
        <w:pStyle w:val="Compact"/>
        <w:numPr>
          <w:ilvl w:val="0"/>
          <w:numId w:val="1009"/>
        </w:numPr>
      </w:pPr>
      <w:r>
        <w:t xml:space="preserve">Quale profilo è richiesto (Base o Esteso)</w:t>
      </w:r>
    </w:p>
    <w:p>
      <w:pPr>
        <w:pStyle w:val="Compact"/>
        <w:numPr>
          <w:ilvl w:val="0"/>
          <w:numId w:val="1009"/>
        </w:numPr>
      </w:pPr>
      <w:r>
        <w:t xml:space="preserve">Quale modalità d’uso è prevista e le regole di transizione hand → tile</w:t>
      </w:r>
    </w:p>
    <w:bookmarkEnd w:id="38"/>
    <w:bookmarkStart w:id="40" w:name="licenza"/>
    <w:p>
      <w:pPr>
        <w:pStyle w:val="Heading2"/>
      </w:pPr>
      <w:r>
        <w:t xml:space="preserve">12. Licenza</w:t>
      </w:r>
    </w:p>
    <w:p>
      <w:pPr>
        <w:pStyle w:val="FirstParagraph"/>
      </w:pPr>
      <w:r>
        <w:t xml:space="preserve">DECK# è rilasciato sotto</w:t>
      </w:r>
      <w:r>
        <w:t xml:space="preserve"> </w:t>
      </w:r>
      <w:r>
        <w:rPr>
          <w:b/>
          <w:bCs/>
        </w:rPr>
        <w:t xml:space="preserve">Creative Commons Attribution 4.0 International (CC BY 4.0)</w:t>
      </w:r>
      <w:r>
        <w:t xml:space="preserve">.</w:t>
      </w:r>
    </w:p>
    <w:p>
      <w:pPr>
        <w:pStyle w:val="BodyText"/>
      </w:pPr>
      <w:r>
        <w:t xml:space="preserve">Chiunque può usare, modificare e distribuire la specifica e i giochi costruiti su di essa, anche a fini commerciali, a condizione di attribuire la fonte originale. I giochi costruiti su DECK# non sono tenuti a rilasciare i propri regolamenti con la stessa licenza.</w:t>
      </w:r>
    </w:p>
    <w:p>
      <w:pPr>
        <w:pStyle w:val="BodyText"/>
      </w:pPr>
      <w:r>
        <w:t xml:space="preserve">© Roberto Bisceglie —</w:t>
      </w:r>
      <w:r>
        <w:t xml:space="preserve"> </w:t>
      </w:r>
      <w:hyperlink r:id="rId39">
        <w:r>
          <w:rPr>
            <w:rStyle w:val="Hyperlink"/>
          </w:rPr>
          <w:t xml:space="preserve">CC BY 4.0</w:t>
        </w:r>
      </w:hyperlink>
    </w:p>
    <w:bookmarkEnd w:id="40"/>
    <w:bookmarkStart w:id="41" w:name="la-matrice-di-annotazione"/>
    <w:p>
      <w:pPr>
        <w:pStyle w:val="Heading2"/>
      </w:pPr>
      <w:r>
        <w:t xml:space="preserve">13. La matrice di annotazione</w:t>
      </w:r>
    </w:p>
    <w:p>
      <w:pPr>
        <w:pStyle w:val="FirstParagraph"/>
      </w:pPr>
      <w:r>
        <w:t xml:space="preserve">La matrice definisce le annotazioni strutturali fisse di tutte le 54 carte. Ogni carta riceve: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Connettività:</w:t>
      </w:r>
      <w:r>
        <w:t xml:space="preserve"> </w:t>
      </w:r>
      <w:r>
        <w:t xml:space="preserve">bordi aperti (gli altri ricevono marcatore di muro). Notazione: N/S/E/W separati da</w:t>
      </w:r>
      <w:r>
        <w:t xml:space="preserve"> </w:t>
      </w:r>
      <w:r>
        <w:rPr>
          <w:rStyle w:val="VerbatimChar"/>
        </w:rPr>
        <w:t xml:space="preserve">+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Primario:</w:t>
      </w:r>
      <w:r>
        <w:t xml:space="preserve"> </w:t>
      </w:r>
      <w:r>
        <w:t xml:space="preserve">glifo in zona S (e speculare in zona N per hand mode).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Modificatore:</w:t>
      </w:r>
      <w:r>
        <w:t xml:space="preserve"> </w:t>
      </w:r>
      <w:r>
        <w:t xml:space="preserve">glifo in angolo NE (e speculare in angolo SW per hand mode).</w:t>
      </w:r>
    </w:p>
    <w:p>
      <w:pPr>
        <w:pStyle w:val="FirstParagraph"/>
      </w:pPr>
      <w:r>
        <w:t xml:space="preserve">Tutte le 52 carte regolari ricevono inoltre: punto SE (polo nord) e marcatori di quadrante.</w:t>
      </w:r>
      <w:r>
        <w:br/>
      </w:r>
      <w:r>
        <w:t xml:space="preserve">I Jolly ricevono il punto SE sul recto e i marcatori di quadrante sul dorso.</w:t>
      </w:r>
    </w:p>
    <w:p>
      <w:pPr>
        <w:pStyle w:val="BodyText"/>
      </w:pPr>
      <w:r>
        <w:t xml:space="preserve">La distribuzione è un artefatto di design authored, ortogonale a valore/seme/colore per costruzione deliberata. Il colore dei glifi non è incluso come colonna — è interamente derivato dal seme secondo la regola contrastante (sezione 4.3): glifi neri su ♥/♦, glifi rossi su ♣/♠.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Valore</w:t>
            </w:r>
          </w:p>
        </w:tc>
        <w:tc>
          <w:tcPr/>
          <w:p>
            <w:pPr>
              <w:pStyle w:val="Compact"/>
            </w:pPr>
            <w:r>
              <w:t xml:space="preserve">Seme</w:t>
            </w:r>
          </w:p>
        </w:tc>
        <w:tc>
          <w:tcPr/>
          <w:p>
            <w:pPr>
              <w:pStyle w:val="Compact"/>
            </w:pPr>
            <w:r>
              <w:t xml:space="preserve">Connettività</w:t>
            </w:r>
          </w:p>
        </w:tc>
        <w:tc>
          <w:tcPr/>
          <w:p>
            <w:pPr>
              <w:pStyle w:val="Compact"/>
            </w:pPr>
            <w:r>
              <w:t xml:space="preserve">Primario</w:t>
            </w:r>
          </w:p>
        </w:tc>
        <w:tc>
          <w:tcPr/>
          <w:p>
            <w:pPr>
              <w:pStyle w:val="Compact"/>
            </w:pPr>
            <w:r>
              <w:t xml:space="preserve">Modificatore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S+W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N+S+E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E+W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E+W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S+W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N+S+W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N+E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N+E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N+S+E+W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E+W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N+S+E+W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S+E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N+S+E+W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S+E+W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E+W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N+S+E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S+E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N+E+W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N+E+W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S+E+W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S+E+W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N+E+W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N+S+E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N+S+W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N+S+E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N+E+W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S+E+W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N+S+E+W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Jolly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Jolly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DECK#</w:t>
      </w:r>
    </w:p>
    <w:p>
      <w:pPr>
        <w:pStyle w:val="BodyText"/>
      </w:pPr>
      <w:r>
        <w:t xml:space="preserve">© 2026 Roberto Bisceglie</w:t>
      </w:r>
    </w:p>
    <w:p>
      <w:pPr>
        <w:pStyle w:val="BodyText"/>
      </w:pPr>
      <w:r>
        <w:t xml:space="preserve">This work is licensed under Creative Commons Attribution-ShareAlike 4.0 International. To view a copy of this license, visit https://creativecommons.org/licenses/by-sa/4.0/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creativecommons.org/licenses/by/4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reativecommons.org/licenses/by/4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Specifiche DECK#</dc:title>
  <dc:creator>Roberto Bisceglie</dc:creator>
  <dc:language>it</dc:language>
  <cp:keywords/>
  <dcterms:created xsi:type="dcterms:W3CDTF">2026-06-30T14:32:21Z</dcterms:created>
  <dcterms:modified xsi:type="dcterms:W3CDTF">2026-06-30T14:32:21Z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rand">
    <vt:lpwstr>../../_brand.yml</vt:lpwstr>
  </property>
  <property fmtid="{D5CDD505-2E9C-101B-9397-08002B2CF9AE}" pid="5" name="by-author">
    <vt:lpwstr/>
  </property>
  <property fmtid="{D5CDD505-2E9C-101B-9397-08002B2CF9AE}" pid="6" name="cover-logo">
    <vt:lpwstr>../assets/logo.svg</vt:lpwstr>
  </property>
  <property fmtid="{D5CDD505-2E9C-101B-9397-08002B2CF9AE}" pid="7" name="date">
    <vt:lpwstr>2026-06-30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Sistema di annotazione stratificata per mazzo di carte standard</vt:lpwstr>
  </property>
  <property fmtid="{D5CDD505-2E9C-101B-9397-08002B2CF9AE}" pid="14" name="toc-title">
    <vt:lpwstr>Indice</vt:lpwstr>
  </property>
  <property fmtid="{D5CDD505-2E9C-101B-9397-08002B2CF9AE}" pid="15" name="version">
    <vt:lpwstr>1</vt:lpwstr>
  </property>
</Properties>
</file>