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Note di Design DECK#</w:t>
      </w:r>
    </w:p>
    <w:p>
      <w:pPr>
        <w:pStyle w:val="Subtitle"/>
      </w:pPr>
      <w:r>
        <w:t xml:space="preserve">Traccia delle decisioni di progettazione</w:t>
      </w:r>
    </w:p>
    <w:p>
      <w:pPr>
        <w:pStyle w:val="Author"/>
      </w:pPr>
      <w:r>
        <w:t xml:space="preserve">Roberto Bisceglie</w:t>
      </w:r>
    </w:p>
    <w:p>
      <w:pPr>
        <w:pStyle w:val="Date"/>
      </w:pPr>
      <w:r>
        <w:t xml:space="preserve">2026-07-01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Indice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version: 0.7.0 · documento interno</w:t>
      </w:r>
    </w:p>
    <w:p>
      <w:r>
        <w:pict>
          <v:rect style="width:0;height:1.5pt" o:hralign="center" o:hrstd="t" o:hr="t"/>
        </w:pict>
      </w:r>
    </w:p>
    <w:bookmarkStart w:id="9" w:name="dc-01-nome-del-sistema-deck"/>
    <w:p>
      <w:pPr>
        <w:pStyle w:val="Heading2"/>
      </w:pPr>
      <w:r>
        <w:t xml:space="preserve">DC-01 — Nome del sistema: DECK</w:t>
      </w:r>
    </w:p>
    <w:p>
      <w:pPr>
        <w:pStyle w:val="FirstParagraph"/>
      </w:pPr>
      <w:r>
        <w:rPr>
          <w:b/>
          <w:bCs/>
        </w:rPr>
        <w:t xml:space="preserve">Decisione:</w:t>
      </w:r>
      <w:r>
        <w:t xml:space="preserve"> </w:t>
      </w:r>
      <w:r>
        <w:t xml:space="preserve">il sistema si chiama DECK#.</w:t>
      </w:r>
      <w:r>
        <w:t xml:space="preserve"> </w:t>
      </w:r>
      <w:r>
        <w:rPr>
          <w:b/>
          <w:bCs/>
        </w:rPr>
        <w:t xml:space="preserve">Alternativa considerata:</w:t>
      </w:r>
      <w:r>
        <w:t xml:space="preserve"> </w:t>
      </w:r>
      <w:r>
        <w:t xml:space="preserve">Deckpack.</w:t>
      </w:r>
      <w:r>
        <w:t xml:space="preserve"> </w:t>
      </w:r>
      <w:r>
        <w:rPr>
          <w:b/>
          <w:bCs/>
        </w:rPr>
        <w:t xml:space="preserve">Motivazione:</w:t>
      </w:r>
      <w:r>
        <w:t xml:space="preserve"> </w:t>
      </w:r>
      <w:r>
        <w:t xml:space="preserve">DECK# (dal greco: lingua, vocabolario) riflette la natura del sistema — un vocabolario condiviso per comunicare informazioni meccaniche. È agnostico alla lingua pur essendo un nome non neutro, il che è appropriato: il nome è un’etichetta meta, non un componente del sistema. Deckpack resta valido per eventuali edizioni fisiche o derivati commerciali.</w:t>
      </w:r>
    </w:p>
    <w:p>
      <w:r>
        <w:pict>
          <v:rect style="width:0;height:1.5pt" o:hralign="center" o:hrstd="t" o:hr="t"/>
        </w:pict>
      </w:r>
    </w:p>
    <w:bookmarkEnd w:id="9"/>
    <w:bookmarkStart w:id="10" w:name="dc-02-ampiezza-del-mazzo-base-52-2-jolly"/>
    <w:p>
      <w:pPr>
        <w:pStyle w:val="Heading2"/>
      </w:pPr>
      <w:r>
        <w:t xml:space="preserve">DC-02 — Ampiezza del mazzo base: 52 + 2 Jolly</w:t>
      </w:r>
    </w:p>
    <w:p>
      <w:pPr>
        <w:pStyle w:val="FirstParagraph"/>
      </w:pPr>
      <w:r>
        <w:rPr>
          <w:b/>
          <w:bCs/>
        </w:rPr>
        <w:t xml:space="preserve">Decisione:</w:t>
      </w:r>
      <w:r>
        <w:t xml:space="preserve"> </w:t>
      </w:r>
      <w:r>
        <w:t xml:space="preserve">54 carte totali.</w:t>
      </w:r>
      <w:r>
        <w:t xml:space="preserve"> </w:t>
      </w:r>
      <w:r>
        <w:rPr>
          <w:b/>
          <w:bCs/>
        </w:rPr>
        <w:t xml:space="preserve">Motivazione:</w:t>
      </w:r>
      <w:r>
        <w:t xml:space="preserve"> </w:t>
      </w:r>
      <w:r>
        <w:t xml:space="preserve">i Jolly sono strutturalmente distinti già nel mazzo standard — l’unica carta priva di seme e valore. Escluderli sarebbe sprecare una risorsa di design. Le carte pubblicitarie presenti in alcuni mazzi non sono standardizzate e non entrano nella specifica.</w:t>
      </w:r>
    </w:p>
    <w:p>
      <w:r>
        <w:pict>
          <v:rect style="width:0;height:1.5pt" o:hralign="center" o:hrstd="t" o:hr="t"/>
        </w:pict>
      </w:r>
    </w:p>
    <w:bookmarkEnd w:id="10"/>
    <w:bookmarkStart w:id="11" w:name="dc-03-marcatura-permanente"/>
    <w:p>
      <w:pPr>
        <w:pStyle w:val="Heading2"/>
      </w:pPr>
      <w:r>
        <w:t xml:space="preserve">DC-03 — Marcatura permanente</w:t>
      </w:r>
    </w:p>
    <w:p>
      <w:pPr>
        <w:pStyle w:val="FirstParagraph"/>
      </w:pPr>
      <w:r>
        <w:rPr>
          <w:b/>
          <w:bCs/>
        </w:rPr>
        <w:t xml:space="preserve">Decisione:</w:t>
      </w:r>
      <w:r>
        <w:t xml:space="preserve"> </w:t>
      </w:r>
      <w:r>
        <w:t xml:space="preserve">annotazioni con pennarello indelebile.</w:t>
      </w:r>
      <w:r>
        <w:t xml:space="preserve"> </w:t>
      </w:r>
      <w:r>
        <w:rPr>
          <w:b/>
          <w:bCs/>
        </w:rPr>
        <w:t xml:space="preserve">Alternative considerate:</w:t>
      </w:r>
      <w:r>
        <w:t xml:space="preserve"> </w:t>
      </w:r>
      <w:r>
        <w:t xml:space="preserve">cancellabile per tutti i layer; sistema misto.</w:t>
      </w:r>
      <w:r>
        <w:t xml:space="preserve"> </w:t>
      </w:r>
      <w:r>
        <w:rPr>
          <w:b/>
          <w:bCs/>
        </w:rPr>
        <w:t xml:space="preserve">Motivazione:</w:t>
      </w:r>
      <w:r>
        <w:t xml:space="preserve"> </w:t>
      </w:r>
      <w:r>
        <w:t xml:space="preserve">la marcatura permanente trasforma ogni mazzo in un artefatto unico. Gli stati variabili vengono tracciati con token fisici già rimovibili per natura. Il sistema misto è disponibile come pratica opzionale per i singoli giochi ma non viene prescritto.</w:t>
      </w:r>
    </w:p>
    <w:p>
      <w:r>
        <w:pict>
          <v:rect style="width:0;height:1.5pt" o:hralign="center" o:hrstd="t" o:hr="t"/>
        </w:pict>
      </w:r>
    </w:p>
    <w:bookmarkEnd w:id="11"/>
    <w:bookmarkStart w:id="12" w:name="X1508fea6d1fa0bf7c8ab8e22b1ff1961f98cd98"/>
    <w:p>
      <w:pPr>
        <w:pStyle w:val="Heading2"/>
      </w:pPr>
      <w:r>
        <w:t xml:space="preserve">DC-04 — Sistema aperto: nessuna mappatura valore → funzione</w:t>
      </w:r>
    </w:p>
    <w:p>
      <w:pPr>
        <w:pStyle w:val="FirstParagraph"/>
      </w:pPr>
      <w:r>
        <w:rPr>
          <w:b/>
          <w:bCs/>
        </w:rPr>
        <w:t xml:space="preserve">Decisione:</w:t>
      </w:r>
      <w:r>
        <w:t xml:space="preserve"> </w:t>
      </w:r>
      <w:r>
        <w:t xml:space="preserve">DECK# non assegna funzioni meccaniche per valore.</w:t>
      </w:r>
      <w:r>
        <w:t xml:space="preserve"> </w:t>
      </w:r>
      <w:r>
        <w:rPr>
          <w:b/>
          <w:bCs/>
        </w:rPr>
        <w:t xml:space="preserve">Alternativa scartata:</w:t>
      </w:r>
      <w:r>
        <w:t xml:space="preserve"> </w:t>
      </w:r>
      <w:r>
        <w:t xml:space="preserve">cardpack-spec v0.2.0 aveva definito Space (A-6) / Resource (7-10) / Actor (J-Q-K) come partizione fissa.</w:t>
      </w:r>
      <w:r>
        <w:t xml:space="preserve"> </w:t>
      </w:r>
      <w:r>
        <w:rPr>
          <w:b/>
          <w:bCs/>
        </w:rPr>
        <w:t xml:space="preserve">Motivazione:</w:t>
      </w:r>
      <w:r>
        <w:t xml:space="preserve"> </w:t>
      </w:r>
      <w:r>
        <w:t xml:space="preserve">quella partizione è la struttura di un gioco tattico specifico, non un vocabolario aperto. Blocca qualsiasi gioco che voglia usare un Asso come personaggio o un Re come territorio. Un sistema aperto non prescrive cosa rappresenta ogni carta — lo fa ogni gioco costruito sopra.</w:t>
      </w:r>
    </w:p>
    <w:p>
      <w:r>
        <w:pict>
          <v:rect style="width:0;height:1.5pt" o:hralign="center" o:hrstd="t" o:hr="t"/>
        </w:pict>
      </w:r>
    </w:p>
    <w:bookmarkEnd w:id="12"/>
    <w:bookmarkStart w:id="13" w:name="Xf1f2b0c38f4be0381c63ac9e308ea60b31efe6e"/>
    <w:p>
      <w:pPr>
        <w:pStyle w:val="Heading2"/>
      </w:pPr>
      <w:r>
        <w:t xml:space="preserve">DC-05 — Sette glifi primari (vocabolario chiuso)</w:t>
      </w:r>
    </w:p>
    <w:p>
      <w:pPr>
        <w:pStyle w:val="FirstParagraph"/>
      </w:pPr>
      <w:r>
        <w:rPr>
          <w:b/>
          <w:bCs/>
        </w:rPr>
        <w:t xml:space="preserve">Decisione:</w:t>
      </w:r>
      <w:r>
        <w:t xml:space="preserve"> </w:t>
      </w:r>
      <w:r>
        <w:t xml:space="preserve">esattamente 7 glifi: punto, linea, croce, diagonale, triangolo, cerchio, quadrato.</w:t>
      </w:r>
      <w:r>
        <w:t xml:space="preserve"> </w:t>
      </w:r>
      <w:r>
        <w:rPr>
          <w:b/>
          <w:bCs/>
        </w:rPr>
        <w:t xml:space="preserve">Motivazione:</w:t>
      </w:r>
      <w:r>
        <w:t xml:space="preserve"> </w:t>
      </w:r>
      <w:r>
        <w:t xml:space="preserve">coprono le forme geometriche primitive producibili con 1-4 tratti. Sufficientemente distinti visivamente tra loro e dai semi. Il vocabolario è chiuso per garantire interoperabilità — un glifo non presente non esiste in DECK#. L’asterisco di cardpack-spec v0.2.0 è stato escluso perché visivamente ambiguo e motivato da un ruolo semantico (Jolly) che la specifica non deve pre-assegnare.</w:t>
      </w:r>
    </w:p>
    <w:p>
      <w:r>
        <w:pict>
          <v:rect style="width:0;height:1.5pt" o:hralign="center" o:hrstd="t" o:hr="t"/>
        </w:pict>
      </w:r>
    </w:p>
    <w:bookmarkEnd w:id="13"/>
    <w:bookmarkStart w:id="14" w:name="X49a5b94da31902452f3ba5523dcecd615ee1bde"/>
    <w:p>
      <w:pPr>
        <w:pStyle w:val="Heading2"/>
      </w:pPr>
      <w:r>
        <w:t xml:space="preserve">DC-06 — Colore dei glifi: regola contrastante</w:t>
      </w:r>
    </w:p>
    <w:p>
      <w:pPr>
        <w:pStyle w:val="FirstParagraph"/>
      </w:pPr>
      <w:r>
        <w:rPr>
          <w:b/>
          <w:bCs/>
        </w:rPr>
        <w:t xml:space="preserve">Decisione originale (v0.1–v0.6):</w:t>
      </w:r>
      <w:r>
        <w:t xml:space="preserve"> </w:t>
      </w:r>
      <w:r>
        <w:t xml:space="preserve">il colore del pennarello è un layer semantico indipendente, ortogonale al glifo; convenzione non prescritta.</w:t>
      </w:r>
      <w:r>
        <w:t xml:space="preserve"> </w:t>
      </w:r>
      <w:r>
        <w:rPr>
          <w:b/>
          <w:bCs/>
        </w:rPr>
        <w:t xml:space="preserve">Decisione aggiornata (v0.7):</w:t>
      </w:r>
      <w:r>
        <w:t xml:space="preserve"> </w:t>
      </w:r>
      <w:r>
        <w:t xml:space="preserve">il colore dei glifi segue la regola contrastante fissa — glifi neri su carte rosse (♥/♦), glifi rossi su carte nere (♣/♠). Vedi DC-22.</w:t>
      </w:r>
      <w:r>
        <w:t xml:space="preserve"> </w:t>
      </w:r>
      <w:r>
        <w:rPr>
          <w:b/>
          <w:bCs/>
        </w:rPr>
        <w:t xml:space="preserve">Motivazione del cambiamento:</w:t>
      </w:r>
      <w:r>
        <w:t xml:space="preserve"> </w:t>
      </w:r>
      <w:r>
        <w:t xml:space="preserve">un asse semantico</w:t>
      </w:r>
      <w:r>
        <w:t xml:space="preserve"> </w:t>
      </w:r>
      <w:r>
        <w:t xml:space="preserve">“disponibile ma non prescritto”</w:t>
      </w:r>
      <w:r>
        <w:t xml:space="preserve"> </w:t>
      </w:r>
      <w:r>
        <w:t xml:space="preserve">non entra mai nell’annotazione canonica. La regola contrastante è semplice, memorabile e garantisce alta leggibilità su tutte le carte senza richiedere una colonna colore nella matrice.</w:t>
      </w:r>
    </w:p>
    <w:p>
      <w:r>
        <w:pict>
          <v:rect style="width:0;height:1.5pt" o:hralign="center" o:hrstd="t" o:hr="t"/>
        </w:pict>
      </w:r>
    </w:p>
    <w:bookmarkEnd w:id="14"/>
    <w:bookmarkStart w:id="15" w:name="X7aa019db6a90271773414f021685da28a26e7d4"/>
    <w:p>
      <w:pPr>
        <w:pStyle w:val="Heading2"/>
      </w:pPr>
      <w:r>
        <w:t xml:space="preserve">DC-07 — Dorso: eccezione per marcatori di quadrante</w:t>
      </w:r>
    </w:p>
    <w:p>
      <w:pPr>
        <w:pStyle w:val="FirstParagraph"/>
      </w:pPr>
      <w:r>
        <w:rPr>
          <w:b/>
          <w:bCs/>
        </w:rPr>
        <w:t xml:space="preserve">Decisione originale (v0.1–v0.5):</w:t>
      </w:r>
      <w:r>
        <w:t xml:space="preserve"> </w:t>
      </w:r>
      <w:r>
        <w:t xml:space="preserve">dorso escluso dall’annotazione.</w:t>
      </w:r>
      <w:r>
        <w:t xml:space="preserve"> </w:t>
      </w:r>
      <w:r>
        <w:rPr>
          <w:b/>
          <w:bCs/>
        </w:rPr>
        <w:t xml:space="preserve">Decisione aggiornata (v0.6):</w:t>
      </w:r>
      <w:r>
        <w:t xml:space="preserve"> </w:t>
      </w:r>
      <w:r>
        <w:t xml:space="preserve">il dorso delle 52 carte regolari riceve esclusivamente i marcatori di quadrante. Due varianti ammesse: minima (quattro segmenti corti ai punti medi) o estesa (croce completa</w:t>
      </w:r>
      <w:r>
        <w:t xml:space="preserve"> </w:t>
      </w:r>
      <w:r>
        <w:rPr>
          <w:rStyle w:val="VerbatimChar"/>
        </w:rPr>
        <w:t xml:space="preserve">+</w:t>
      </w:r>
      <w:r>
        <w:t xml:space="preserve">). La scelta è lasciata a chi annota. I Jolly non ricevono marcatori di quadrante nemmeno sul dorso.</w:t>
      </w:r>
      <w:r>
        <w:t xml:space="preserve"> </w:t>
      </w:r>
      <w:r>
        <w:rPr>
          <w:b/>
          <w:bCs/>
        </w:rPr>
        <w:t xml:space="preserve">Motivazione dell’eccezione:</w:t>
      </w:r>
      <w:r>
        <w:t xml:space="preserve"> </w:t>
      </w:r>
      <w:r>
        <w:t xml:space="preserve">i marcatori di quadrante sono identici su tutte le 52 carte regolari — non rivelano nessuna informazione differenziale. La motivazione originale (preservare l’anonimità per fog-of-war) non si applica a marcatori uniformi. Il beneficio è eliminare la coesistenza con il glifo primario in zona S (DA-01 / DC-21, ora superate).</w:t>
      </w:r>
    </w:p>
    <w:p>
      <w:r>
        <w:pict>
          <v:rect style="width:0;height:1.5pt" o:hralign="center" o:hrstd="t" o:hr="t"/>
        </w:pict>
      </w:r>
    </w:p>
    <w:bookmarkEnd w:id="15"/>
    <w:bookmarkStart w:id="16" w:name="dc-08-convenzione-del-polo-nord"/>
    <w:p>
      <w:pPr>
        <w:pStyle w:val="Heading2"/>
      </w:pPr>
      <w:r>
        <w:t xml:space="preserve">DC-08 — Convenzione del polo nord</w:t>
      </w:r>
    </w:p>
    <w:p>
      <w:pPr>
        <w:pStyle w:val="FirstParagraph"/>
      </w:pPr>
      <w:r>
        <w:rPr>
          <w:b/>
          <w:bCs/>
        </w:rPr>
        <w:t xml:space="preserve">Decisione:</w:t>
      </w:r>
      <w:r>
        <w:t xml:space="preserve"> </w:t>
      </w:r>
      <w:r>
        <w:t xml:space="preserve">polo nord = lato con indice NW canonico. Punto in SE come marcatore di orientamento.</w:t>
      </w:r>
      <w:r>
        <w:t xml:space="preserve"> </w:t>
      </w:r>
      <w:r>
        <w:rPr>
          <w:b/>
          <w:bCs/>
        </w:rPr>
        <w:t xml:space="preserve">Problema:</w:t>
      </w:r>
      <w:r>
        <w:t xml:space="preserve"> </w:t>
      </w:r>
      <w:r>
        <w:t xml:space="preserve">le carte hanno simmetria verticale per motivi ergonomici. Con elementi spaziali, va rotta esplicitamente.</w:t>
      </w:r>
      <w:r>
        <w:t xml:space="preserve"> </w:t>
      </w:r>
      <w:r>
        <w:rPr>
          <w:b/>
          <w:bCs/>
        </w:rPr>
        <w:t xml:space="preserve">Motivazione:</w:t>
      </w:r>
      <w:r>
        <w:t xml:space="preserve"> </w:t>
      </w:r>
      <w:r>
        <w:t xml:space="preserve">il punto in SE è la soluzione meno invasiva — non copre nulla, è asimmetrico, richiede un tratto. Una freccia fissa avrebbe introdotto semantica spaziale anche per giochi senza orientamento.</w:t>
      </w:r>
    </w:p>
    <w:p>
      <w:r>
        <w:pict>
          <v:rect style="width:0;height:1.5pt" o:hralign="center" o:hrstd="t" o:hr="t"/>
        </w:pict>
      </w:r>
    </w:p>
    <w:bookmarkEnd w:id="16"/>
    <w:bookmarkStart w:id="17" w:name="Xd63e10e6b52cc5dfd1f9b57468e4885d4e4e0c2"/>
    <w:p>
      <w:pPr>
        <w:pStyle w:val="Heading2"/>
      </w:pPr>
      <w:r>
        <w:t xml:space="preserve">DC-09 — Posizionamento simmetrico in hand mode</w:t>
      </w:r>
    </w:p>
    <w:p>
      <w:pPr>
        <w:pStyle w:val="FirstParagraph"/>
      </w:pPr>
      <w:r>
        <w:rPr>
          <w:b/>
          <w:bCs/>
        </w:rPr>
        <w:t xml:space="preserve">Decisione:</w:t>
      </w:r>
      <w:r>
        <w:t xml:space="preserve"> </w:t>
      </w:r>
      <w:r>
        <w:t xml:space="preserve">annotazioni in due posizioni speculari — glifo primario in zona S con speculare in N; modificatore in angolo NE con speculare in SW. Vedi DC-18 per le zone specifiche.</w:t>
      </w:r>
      <w:r>
        <w:t xml:space="preserve"> </w:t>
      </w:r>
      <w:r>
        <w:rPr>
          <w:b/>
          <w:bCs/>
        </w:rPr>
        <w:t xml:space="preserve">Fonte:</w:t>
      </w:r>
      <w:r>
        <w:t xml:space="preserve"> </w:t>
      </w:r>
      <w:r>
        <w:t xml:space="preserve">cardpack-spec v0.2.0 (zone aggiornate in DC-18).</w:t>
      </w:r>
      <w:r>
        <w:t xml:space="preserve"> </w:t>
      </w:r>
      <w:r>
        <w:rPr>
          <w:b/>
          <w:bCs/>
        </w:rPr>
        <w:t xml:space="preserve">Motivazione:</w:t>
      </w:r>
      <w:r>
        <w:t xml:space="preserve"> </w:t>
      </w:r>
      <w:r>
        <w:t xml:space="preserve">convenzione ergonomica standard dei mazzi — gli indici sono già duplicati e ruotati per la stessa ragione. Garantisce leggibilità a ventaglio senza regole aggiuntive.</w:t>
      </w:r>
    </w:p>
    <w:p>
      <w:r>
        <w:pict>
          <v:rect style="width:0;height:1.5pt" o:hralign="center" o:hrstd="t" o:hr="t"/>
        </w:pict>
      </w:r>
    </w:p>
    <w:bookmarkEnd w:id="17"/>
    <w:bookmarkStart w:id="18" w:name="dc-10-marcatori-di-quadrante"/>
    <w:p>
      <w:pPr>
        <w:pStyle w:val="Heading2"/>
      </w:pPr>
      <w:r>
        <w:t xml:space="preserve">DC-10 — Marcatori di quadrante</w:t>
      </w:r>
    </w:p>
    <w:p>
      <w:pPr>
        <w:pStyle w:val="FirstParagraph"/>
      </w:pPr>
      <w:r>
        <w:rPr>
          <w:b/>
          <w:bCs/>
        </w:rPr>
        <w:t xml:space="preserve">Decisione:</w:t>
      </w:r>
      <w:r>
        <w:t xml:space="preserve"> </w:t>
      </w:r>
      <w:r>
        <w:t xml:space="preserve">presenti sul</w:t>
      </w:r>
      <w:r>
        <w:t xml:space="preserve"> </w:t>
      </w:r>
      <w:r>
        <w:rPr>
          <w:b/>
          <w:bCs/>
        </w:rPr>
        <w:t xml:space="preserve">dorso</w:t>
      </w:r>
      <w:r>
        <w:t xml:space="preserve"> </w:t>
      </w:r>
      <w:r>
        <w:t xml:space="preserve">delle 52 carte regolari (migrazione dal recto in v0.6, vedi DC-07 rev.). Due varianti: minima (quattro segmenti corti) o estesa (croce</w:t>
      </w:r>
      <w:r>
        <w:t xml:space="preserve"> </w:t>
      </w:r>
      <w:r>
        <w:rPr>
          <w:rStyle w:val="VerbatimChar"/>
        </w:rPr>
        <w:t xml:space="preserve">+</w:t>
      </w:r>
      <w:r>
        <w:t xml:space="preserve">). Assenti sui Jolly.</w:t>
      </w:r>
      <w:r>
        <w:t xml:space="preserve"> </w:t>
      </w:r>
      <w:r>
        <w:rPr>
          <w:b/>
          <w:bCs/>
        </w:rPr>
        <w:t xml:space="preserve">Fonte:</w:t>
      </w:r>
      <w:r>
        <w:t xml:space="preserve"> </w:t>
      </w:r>
      <w:r>
        <w:t xml:space="preserve">cardpack-spec v0.2.0 (universalità stabilita in DC-17; migrazione al dorso in DC-07 rev. v0.6).</w:t>
      </w:r>
      <w:r>
        <w:t xml:space="preserve"> </w:t>
      </w:r>
      <w:r>
        <w:rPr>
          <w:b/>
          <w:bCs/>
        </w:rPr>
        <w:t xml:space="preserve">Motivazione:</w:t>
      </w:r>
      <w:r>
        <w:t xml:space="preserve"> </w:t>
      </w:r>
      <w:r>
        <w:t xml:space="preserve">sul recto i segmenti corti erano necessari per evitare di coprire i pip. Sul dorso la variante estesa (croce completa) diventa praticabile senza interferenze.</w:t>
      </w:r>
    </w:p>
    <w:p>
      <w:pPr>
        <w:pStyle w:val="BodyText"/>
      </w:pPr>
      <w:r>
        <w:rPr>
          <w:b/>
          <w:bCs/>
        </w:rPr>
        <w:t xml:space="preserve">Revisione v0.7.1 (2026-05-13):</w:t>
      </w:r>
      <w:r>
        <w:t xml:space="preserve"> </w:t>
      </w:r>
      <w:r>
        <w:t xml:space="preserve">estesi anche ai Jolly sul dorso. Vedi DC-11 rev. per la motivazione.</w:t>
      </w:r>
    </w:p>
    <w:p>
      <w:r>
        <w:pict>
          <v:rect style="width:0;height:1.5pt" o:hralign="center" o:hrstd="t" o:hr="t"/>
        </w:pict>
      </w:r>
    </w:p>
    <w:bookmarkEnd w:id="18"/>
    <w:bookmarkStart w:id="19" w:name="X2b369b0b95343486c2c6a66544d0a571a6b150f"/>
    <w:p>
      <w:pPr>
        <w:pStyle w:val="Heading2"/>
      </w:pPr>
      <w:r>
        <w:t xml:space="preserve">DC-11 — Jolly come variabili non istanziate</w:t>
      </w:r>
    </w:p>
    <w:p>
      <w:pPr>
        <w:pStyle w:val="FirstParagraph"/>
      </w:pPr>
      <w:r>
        <w:rPr>
          <w:b/>
          <w:bCs/>
        </w:rPr>
        <w:t xml:space="preserve">Decisione:</w:t>
      </w:r>
      <w:r>
        <w:t xml:space="preserve"> </w:t>
      </w:r>
      <w:r>
        <w:t xml:space="preserve">i Jolly ricevono solo il punto SE (polo nord). Nessun glifo primario, nessun modificatore, nessun marcatore di connettività, nessun marcatore di quadrante.</w:t>
      </w:r>
      <w:r>
        <w:t xml:space="preserve"> </w:t>
      </w:r>
      <w:r>
        <w:rPr>
          <w:b/>
          <w:bCs/>
        </w:rPr>
        <w:t xml:space="preserve">Alternativa scartata:</w:t>
      </w:r>
      <w:r>
        <w:t xml:space="preserve"> </w:t>
      </w:r>
      <w:r>
        <w:t xml:space="preserve">asterisco fisso in cardpack-spec v0.2.0.</w:t>
      </w:r>
      <w:r>
        <w:t xml:space="preserve"> </w:t>
      </w:r>
      <w:r>
        <w:rPr>
          <w:b/>
          <w:bCs/>
        </w:rPr>
        <w:t xml:space="preserve">Motivazione:</w:t>
      </w:r>
      <w:r>
        <w:t xml:space="preserve"> </w:t>
      </w:r>
      <w:r>
        <w:t xml:space="preserve">l’asterisco trasforma i Jolly in un ruolo funzionale specifico prima che un gioco li usi. Un sistema aperto lascia i Jolly come superfici neutre. La loro assenza dagli assi ereditati è già sufficiente a distinguerli.</w:t>
      </w:r>
    </w:p>
    <w:p>
      <w:pPr>
        <w:pStyle w:val="BodyText"/>
      </w:pPr>
      <w:r>
        <w:rPr>
          <w:b/>
          <w:bCs/>
        </w:rPr>
        <w:t xml:space="preserve">Revisione v0.7.1 (2026-05-13):</w:t>
      </w:r>
      <w:r>
        <w:t xml:space="preserve"> </w:t>
      </w:r>
      <w:r>
        <w:t xml:space="preserve">i Jolly ricevono i marcatori di quadrante sul dorso. La motivazione originale (neutralità del Jolly come superficie bianca) si applica al recto, non al dorso: i marcatori di quadrante sono uniformi su tutte le carte e non trasmettono alcuna informazione differenziale. La loro assenza sul dorso dei Jolly li rendeva riconoscibili a carte coperte, compromettendo il fog-of-war. Il principio di neutralità rimane integro: il Jolly è ancora privo di semantica pre-assegnata sul recto.</w:t>
      </w:r>
    </w:p>
    <w:p>
      <w:r>
        <w:pict>
          <v:rect style="width:0;height:1.5pt" o:hralign="center" o:hrstd="t" o:hr="t"/>
        </w:pict>
      </w:r>
    </w:p>
    <w:bookmarkEnd w:id="19"/>
    <w:bookmarkStart w:id="20" w:name="dc-12-profili-base-ed-esteso"/>
    <w:p>
      <w:pPr>
        <w:pStyle w:val="Heading2"/>
      </w:pPr>
      <w:r>
        <w:t xml:space="preserve">DC-12 — Profili Base ed Esteso</w:t>
      </w:r>
    </w:p>
    <w:p>
      <w:pPr>
        <w:pStyle w:val="FirstParagraph"/>
      </w:pPr>
      <w:r>
        <w:rPr>
          <w:b/>
          <w:bCs/>
        </w:rPr>
        <w:t xml:space="preserve">Decisione:</w:t>
      </w:r>
      <w:r>
        <w:t xml:space="preserve"> </w:t>
      </w:r>
      <w:r>
        <w:t xml:space="preserve">due profili con requisiti crescenti.</w:t>
      </w:r>
      <w:r>
        <w:t xml:space="preserve"> </w:t>
      </w:r>
      <w:r>
        <w:rPr>
          <w:b/>
          <w:bCs/>
        </w:rPr>
        <w:t xml:space="preserve">Fonte:</w:t>
      </w:r>
      <w:r>
        <w:t xml:space="preserve"> </w:t>
      </w:r>
      <w:r>
        <w:t xml:space="preserve">cardpack-spec v0.2.0 (assente in DECK# v0.1).</w:t>
      </w:r>
      <w:r>
        <w:t xml:space="preserve"> </w:t>
      </w:r>
      <w:r>
        <w:rPr>
          <w:b/>
          <w:bCs/>
        </w:rPr>
        <w:t xml:space="preserve">Motivazione:</w:t>
      </w:r>
      <w:r>
        <w:t xml:space="preserve"> </w:t>
      </w:r>
      <w:r>
        <w:t xml:space="preserve">il sistema deve essere accessibile con il minimo materiale ma non fingere che tutti i giochi abbiano gli stessi requisiti. La distinzione è una dichiarazione di scope, non una gerarchia.</w:t>
      </w:r>
    </w:p>
    <w:p>
      <w:r>
        <w:pict>
          <v:rect style="width:0;height:1.5pt" o:hralign="center" o:hrstd="t" o:hr="t"/>
        </w:pict>
      </w:r>
    </w:p>
    <w:bookmarkEnd w:id="20"/>
    <w:bookmarkStart w:id="21" w:name="X296167ba7be98578a93ff280f77a3d1ca4eaca8"/>
    <w:p>
      <w:pPr>
        <w:pStyle w:val="Heading2"/>
      </w:pPr>
      <w:r>
        <w:t xml:space="preserve">DC-13 — Sezione</w:t>
      </w:r>
      <w:r>
        <w:t xml:space="preserve"> </w:t>
      </w:r>
      <w:r>
        <w:t xml:space="preserve">“Responsabilità del designer”</w:t>
      </w:r>
    </w:p>
    <w:p>
      <w:pPr>
        <w:pStyle w:val="FirstParagraph"/>
      </w:pPr>
      <w:r>
        <w:rPr>
          <w:b/>
          <w:bCs/>
        </w:rPr>
        <w:t xml:space="preserve">Decisione:</w:t>
      </w:r>
      <w:r>
        <w:t xml:space="preserve"> </w:t>
      </w:r>
      <w:r>
        <w:t xml:space="preserve">lista esplicita di ciò che ogni gioco costruito su DECK# deve specificare.</w:t>
      </w:r>
      <w:r>
        <w:t xml:space="preserve"> </w:t>
      </w:r>
      <w:r>
        <w:rPr>
          <w:b/>
          <w:bCs/>
        </w:rPr>
        <w:t xml:space="preserve">Motivazione:</w:t>
      </w:r>
      <w:r>
        <w:t xml:space="preserve"> </w:t>
      </w:r>
      <w:r>
        <w:t xml:space="preserve">senza questa sezione un designer non sa dove inizia il suo lavoro. La lista delimita l’interfaccia tra specifica e gioco.</w:t>
      </w:r>
    </w:p>
    <w:p>
      <w:r>
        <w:pict>
          <v:rect style="width:0;height:1.5pt" o:hralign="center" o:hrstd="t" o:hr="t"/>
        </w:pict>
      </w:r>
    </w:p>
    <w:bookmarkEnd w:id="21"/>
    <w:bookmarkStart w:id="22" w:name="dc-14-licenza-cc-by-4.0"/>
    <w:p>
      <w:pPr>
        <w:pStyle w:val="Heading2"/>
      </w:pPr>
      <w:r>
        <w:t xml:space="preserve">DC-14 — Licenza CC BY 4.0</w:t>
      </w:r>
    </w:p>
    <w:p>
      <w:pPr>
        <w:pStyle w:val="FirstParagraph"/>
      </w:pPr>
      <w:r>
        <w:rPr>
          <w:b/>
          <w:bCs/>
        </w:rPr>
        <w:t xml:space="preserve">Decisione:</w:t>
      </w:r>
      <w:r>
        <w:t xml:space="preserve"> </w:t>
      </w:r>
      <w:r>
        <w:t xml:space="preserve">Creative Commons Attribution 4.0 International.</w:t>
      </w:r>
      <w:r>
        <w:t xml:space="preserve"> </w:t>
      </w:r>
      <w:r>
        <w:rPr>
          <w:b/>
          <w:bCs/>
        </w:rPr>
        <w:t xml:space="preserve">Alternative considerate:</w:t>
      </w:r>
      <w:r>
        <w:t xml:space="preserve"> </w:t>
      </w:r>
      <w:r>
        <w:t xml:space="preserve">CC0, CC BY-SA, licenza proprietaria con permesso d’uso.</w:t>
      </w:r>
      <w:r>
        <w:t xml:space="preserve"> </w:t>
      </w:r>
      <w:r>
        <w:rPr>
          <w:b/>
          <w:bCs/>
        </w:rPr>
        <w:t xml:space="preserve">Motivazione:</w:t>
      </w:r>
      <w:r>
        <w:t xml:space="preserve"> </w:t>
      </w:r>
      <w:r>
        <w:t xml:space="preserve">CC BY 4.0 bilancia apertura e attribuzione. Permette uso commerciale, non impone copyleft sui derivati, richiede solo citazione della fonte. CC0 avrebbe rinunciato a qualsiasi tracciabilità dell’ecosistema. CC BY-SA avrebbe creato frizioni per giochi commerciali.</w:t>
      </w:r>
    </w:p>
    <w:p>
      <w:r>
        <w:pict>
          <v:rect style="width:0;height:1.5pt" o:hralign="center" o:hrstd="t" o:hr="t"/>
        </w:pict>
      </w:r>
    </w:p>
    <w:bookmarkEnd w:id="22"/>
    <w:bookmarkStart w:id="23" w:name="dc-15-layer-unico-strutturale"/>
    <w:p>
      <w:pPr>
        <w:pStyle w:val="Heading2"/>
      </w:pPr>
      <w:r>
        <w:t xml:space="preserve">DC-15 — Layer unico strutturale</w:t>
      </w:r>
    </w:p>
    <w:p>
      <w:pPr>
        <w:pStyle w:val="FirstParagraph"/>
      </w:pPr>
      <w:r>
        <w:rPr>
          <w:b/>
          <w:bCs/>
        </w:rPr>
        <w:t xml:space="preserve">Decisione:</w:t>
      </w:r>
      <w:r>
        <w:t xml:space="preserve"> </w:t>
      </w:r>
      <w:r>
        <w:t xml:space="preserve">i glifi sono strutturali per definizione. Non esiste un layer semantico separato aggiunto dal gioco — il designer interpreta i glifi strutturali, non aggiunge un layer proprio.</w:t>
      </w:r>
      <w:r>
        <w:t xml:space="preserve"> </w:t>
      </w:r>
      <w:r>
        <w:rPr>
          <w:b/>
          <w:bCs/>
        </w:rPr>
        <w:t xml:space="preserve">Alternativa scartata:</w:t>
      </w:r>
      <w:r>
        <w:t xml:space="preserve"> </w:t>
      </w:r>
      <w:r>
        <w:t xml:space="preserve">modello a due layer (strutturale DECK# + semantico per gioco).</w:t>
      </w:r>
      <w:r>
        <w:t xml:space="preserve"> </w:t>
      </w:r>
      <w:r>
        <w:rPr>
          <w:b/>
          <w:bCs/>
        </w:rPr>
        <w:t xml:space="preserve">Motivazione:</w:t>
      </w:r>
      <w:r>
        <w:t xml:space="preserve"> </w:t>
      </w:r>
      <w:r>
        <w:t xml:space="preserve">la distinzione layer strutturale / layer semantico è concettuale, non fisica. Sul mazzo c’è un solo strato di annotazione. La semantica è un’operazione di lettura, non di scrittura.</w:t>
      </w:r>
    </w:p>
    <w:p>
      <w:r>
        <w:pict>
          <v:rect style="width:0;height:1.5pt" o:hralign="center" o:hrstd="t" o:hr="t"/>
        </w:pict>
      </w:r>
    </w:p>
    <w:bookmarkEnd w:id="23"/>
    <w:bookmarkStart w:id="24" w:name="X87f31c251d70cc50bf753350832b63e88f07344"/>
    <w:p>
      <w:pPr>
        <w:pStyle w:val="Heading2"/>
      </w:pPr>
      <w:r>
        <w:t xml:space="preserve">DC-16 — Tre dimensioni strutturali per carta</w:t>
      </w:r>
    </w:p>
    <w:p>
      <w:pPr>
        <w:pStyle w:val="FirstParagraph"/>
      </w:pPr>
      <w:r>
        <w:rPr>
          <w:b/>
          <w:bCs/>
        </w:rPr>
        <w:t xml:space="preserve">Decisione:</w:t>
      </w:r>
      <w:r>
        <w:t xml:space="preserve"> </w:t>
      </w:r>
      <w:r>
        <w:t xml:space="preserve">ogni carta è definita da tre dimensioni: Connettività (pattern di bordi aperti tra 15 configurazioni), Primario (glifo in zona S), Modificatore (glifo in angolo NE). Gerarchia posizionale, non semantica: Primario + Modificatore identici (es. ×/×) sono combinazioni legittime.</w:t>
      </w:r>
      <w:r>
        <w:t xml:space="preserve"> </w:t>
      </w:r>
      <w:r>
        <w:rPr>
          <w:b/>
          <w:bCs/>
        </w:rPr>
        <w:t xml:space="preserve">Motivazione:</w:t>
      </w:r>
      <w:r>
        <w:t xml:space="preserve"> </w:t>
      </w:r>
      <w:r>
        <w:t xml:space="preserve">tre dimensioni indipendenti creano uno spazio combinatorio (15 × 7 × 7 = 735 configurazioni teoriche) molto più ricco dei 52 slot necessari, garantendo libertà di design nella distribuzione.</w:t>
      </w:r>
    </w:p>
    <w:p>
      <w:r>
        <w:pict>
          <v:rect style="width:0;height:1.5pt" o:hralign="center" o:hrstd="t" o:hr="t"/>
        </w:pict>
      </w:r>
    </w:p>
    <w:bookmarkEnd w:id="24"/>
    <w:bookmarkStart w:id="25" w:name="dc-17-marcatori-di-quadrante-universali"/>
    <w:p>
      <w:pPr>
        <w:pStyle w:val="Heading2"/>
      </w:pPr>
      <w:r>
        <w:t xml:space="preserve">DC-17 — Marcatori di quadrante universali</w:t>
      </w:r>
    </w:p>
    <w:p>
      <w:pPr>
        <w:pStyle w:val="FirstParagraph"/>
      </w:pPr>
      <w:r>
        <w:rPr>
          <w:b/>
          <w:bCs/>
        </w:rPr>
        <w:t xml:space="preserve">Decisione:</w:t>
      </w:r>
      <w:r>
        <w:t xml:space="preserve"> </w:t>
      </w:r>
      <w:r>
        <w:t xml:space="preserve">i marcatori di quadrante sono presenti su tutte le 52 carte regolari. Assenti sui Jolly.</w:t>
      </w:r>
      <w:r>
        <w:t xml:space="preserve"> </w:t>
      </w:r>
      <w:r>
        <w:rPr>
          <w:b/>
          <w:bCs/>
        </w:rPr>
        <w:t xml:space="preserve">Alternativa scartata:</w:t>
      </w:r>
      <w:r>
        <w:t xml:space="preserve"> </w:t>
      </w:r>
      <w:r>
        <w:t xml:space="preserve">presenza variabile come dimensione della matrice.</w:t>
      </w:r>
      <w:r>
        <w:t xml:space="preserve"> </w:t>
      </w:r>
      <w:r>
        <w:rPr>
          <w:b/>
          <w:bCs/>
        </w:rPr>
        <w:t xml:space="preserve">Motivazione:</w:t>
      </w:r>
      <w:r>
        <w:t xml:space="preserve"> </w:t>
      </w:r>
      <w:r>
        <w:t xml:space="preserve">la capacità spaziale uniforme semplifica l’annotazione e sposta la gestione della capacità al gioco, che può ignorarla, usarla parzialmente o sfruttarla integralmente.</w:t>
      </w:r>
    </w:p>
    <w:p>
      <w:r>
        <w:pict>
          <v:rect style="width:0;height:1.5pt" o:hralign="center" o:hrstd="t" o:hr="t"/>
        </w:pict>
      </w:r>
    </w:p>
    <w:bookmarkEnd w:id="25"/>
    <w:bookmarkStart w:id="26" w:name="Xc79c6783962f43a124f8aca2810b566fd02f464"/>
    <w:p>
      <w:pPr>
        <w:pStyle w:val="Heading2"/>
      </w:pPr>
      <w:r>
        <w:t xml:space="preserve">DC-18 — Zone: Primario in S, Modificatore in NE</w:t>
      </w:r>
    </w:p>
    <w:p>
      <w:pPr>
        <w:pStyle w:val="FirstParagraph"/>
      </w:pPr>
      <w:r>
        <w:rPr>
          <w:b/>
          <w:bCs/>
        </w:rPr>
        <w:t xml:space="preserve">Decisione:</w:t>
      </w:r>
      <w:r>
        <w:t xml:space="preserve"> </w:t>
      </w:r>
      <w:r>
        <w:t xml:space="preserve">glifo primario in zona S (interno, bordo medio inferiore) con speculare in N; modificatore in angolo NE con speculare in SW. Centro non occupato da annotazioni DECK#.</w:t>
      </w:r>
      <w:r>
        <w:t xml:space="preserve"> </w:t>
      </w:r>
      <w:r>
        <w:rPr>
          <w:b/>
          <w:bCs/>
        </w:rPr>
        <w:t xml:space="preserve">Alternativa scartata:</w:t>
      </w:r>
      <w:r>
        <w:t xml:space="preserve"> </w:t>
      </w:r>
      <w:r>
        <w:t xml:space="preserve">primario al centro (bloccato dai pip sulle carte numerali).</w:t>
      </w:r>
      <w:r>
        <w:t xml:space="preserve"> </w:t>
      </w:r>
      <w:r>
        <w:rPr>
          <w:b/>
          <w:bCs/>
        </w:rPr>
        <w:t xml:space="preserve">Motivazione:</w:t>
      </w:r>
      <w:r>
        <w:t xml:space="preserve"> </w:t>
      </w:r>
      <w:r>
        <w:t xml:space="preserve">zona S è visibile quando le carte sono tenute a ventaglio; è pulita e separata dai pip per tutte le carte. NE è il secondo angolo più visibile. Il centro resta leggibile per i pip e disponibile come spazio visivo neutro.</w:t>
      </w:r>
    </w:p>
    <w:p>
      <w:r>
        <w:pict>
          <v:rect style="width:0;height:1.5pt" o:hralign="center" o:hrstd="t" o:hr="t"/>
        </w:pict>
      </w:r>
    </w:p>
    <w:bookmarkEnd w:id="26"/>
    <w:bookmarkStart w:id="27" w:name="Xb9dab16628112a23b7cbff99609f596dd50b8cc"/>
    <w:p>
      <w:pPr>
        <w:pStyle w:val="Heading2"/>
      </w:pPr>
      <w:r>
        <w:t xml:space="preserve">DC-19 — Matrice di annotazione come artefatto di design</w:t>
      </w:r>
    </w:p>
    <w:p>
      <w:pPr>
        <w:pStyle w:val="FirstParagraph"/>
      </w:pPr>
      <w:r>
        <w:rPr>
          <w:b/>
          <w:bCs/>
        </w:rPr>
        <w:t xml:space="preserve">Decisione:</w:t>
      </w:r>
      <w:r>
        <w:t xml:space="preserve"> </w:t>
      </w:r>
      <w:r>
        <w:t xml:space="preserve">la distribuzione di connettività e glifi sulle 52 carte è un artefatto authored, ortogonale a valore/seme/colore per costruzione deliberata. Non esiste formula algoritmica che colleghi proprietà del substrato all’annotazione strutturale.</w:t>
      </w:r>
      <w:r>
        <w:t xml:space="preserve"> </w:t>
      </w:r>
      <w:r>
        <w:rPr>
          <w:b/>
          <w:bCs/>
        </w:rPr>
        <w:t xml:space="preserve">Motivazione:</w:t>
      </w:r>
      <w:r>
        <w:t xml:space="preserve"> </w:t>
      </w:r>
      <w:r>
        <w:t xml:space="preserve">l’ortogonalità per formula richiederebbe di usare valore/seme come indice, re-encodandoli implicitamente. L’ortogonalità per design è più robusta: nessuna correlazione sistematica, varietà topologica controllata.</w:t>
      </w:r>
    </w:p>
    <w:p>
      <w:r>
        <w:pict>
          <v:rect style="width:0;height:1.5pt" o:hralign="center" o:hrstd="t" o:hr="t"/>
        </w:pict>
      </w:r>
    </w:p>
    <w:bookmarkEnd w:id="27"/>
    <w:bookmarkStart w:id="28" w:name="Xa1b1f50dc395404eb668dc92ef102d83000b030"/>
    <w:p>
      <w:pPr>
        <w:pStyle w:val="Heading2"/>
      </w:pPr>
      <w:r>
        <w:t xml:space="preserve">DC-20 — Annotazione pre-gioco come standard assoluto</w:t>
      </w:r>
    </w:p>
    <w:p>
      <w:pPr>
        <w:pStyle w:val="FirstParagraph"/>
      </w:pPr>
      <w:r>
        <w:rPr>
          <w:b/>
          <w:bCs/>
        </w:rPr>
        <w:t xml:space="preserve">Decisione:</w:t>
      </w:r>
      <w:r>
        <w:t xml:space="preserve"> </w:t>
      </w:r>
      <w:r>
        <w:t xml:space="preserve">il mazzo DECK# viene annotato integralmente prima di qualsiasi sessione. Nessuna annotazione in gioco per il layer strutturale.</w:t>
      </w:r>
      <w:r>
        <w:t xml:space="preserve"> </w:t>
      </w:r>
      <w:r>
        <w:rPr>
          <w:b/>
          <w:bCs/>
        </w:rPr>
        <w:t xml:space="preserve">Motivazione:</w:t>
      </w:r>
      <w:r>
        <w:t xml:space="preserve"> </w:t>
      </w:r>
      <w:r>
        <w:t xml:space="preserve">coerente con il modello del mazzo come artefatto fisso. Rimuove una fonte di ambiguità dalla sezione</w:t>
      </w:r>
      <w:r>
        <w:t xml:space="preserve"> </w:t>
      </w:r>
      <w:r>
        <w:t xml:space="preserve">“Responsabilità del designer”</w:t>
      </w:r>
      <w:r>
        <w:t xml:space="preserve"> </w:t>
      </w:r>
      <w:r>
        <w:t xml:space="preserve">— non è una scelta del gioco, è un vincolo del sistema.</w:t>
      </w:r>
    </w:p>
    <w:p>
      <w:r>
        <w:pict>
          <v:rect style="width:0;height:1.5pt" o:hralign="center" o:hrstd="t" o:hr="t"/>
        </w:pict>
      </w:r>
    </w:p>
    <w:bookmarkEnd w:id="28"/>
    <w:bookmarkStart w:id="29" w:name="Xed85b8a88d7f208aa6770aa4d46808757558532"/>
    <w:p>
      <w:pPr>
        <w:pStyle w:val="Heading2"/>
      </w:pPr>
      <w:r>
        <w:t xml:space="preserve">DC-22 — Colore dei glifi: regola contrastante</w:t>
      </w:r>
    </w:p>
    <w:p>
      <w:pPr>
        <w:pStyle w:val="FirstParagraph"/>
      </w:pPr>
      <w:r>
        <w:rPr>
          <w:b/>
          <w:bCs/>
        </w:rPr>
        <w:t xml:space="preserve">Decisione:</w:t>
      </w:r>
      <w:r>
        <w:t xml:space="preserve"> </w:t>
      </w:r>
      <w:r>
        <w:t xml:space="preserve">glifi neri su carte rosse (♥/♦); glifi rossi su carte nere (♣/♠). Regola fissa, nessuna colonna colore nella matrice.</w:t>
      </w:r>
      <w:r>
        <w:t xml:space="preserve"> </w:t>
      </w:r>
      <w:r>
        <w:rPr>
          <w:b/>
          <w:bCs/>
        </w:rPr>
        <w:t xml:space="preserve">Alternative scartate:</w:t>
      </w:r>
      <w:r>
        <w:t xml:space="preserve"> </w:t>
      </w:r>
      <w:r>
        <w:t xml:space="preserve">(1) colore come asse semantico indipendente nella matrice — richiede distribuzione progettata e aggiunge complessità; (2) tutti i glifi in nero — perde leggibilità su carte nere.</w:t>
      </w:r>
      <w:r>
        <w:t xml:space="preserve"> </w:t>
      </w:r>
      <w:r>
        <w:rPr>
          <w:b/>
          <w:bCs/>
        </w:rPr>
        <w:t xml:space="preserve">Motivazione:</w:t>
      </w:r>
      <w:r>
        <w:t xml:space="preserve"> </w:t>
      </w:r>
      <w:r>
        <w:t xml:space="preserve">il colore contrastante è interamente derivabile dal seme (zero informazione differenziale nuova) ma massimizza la separazione visiva tra annotazione e substrato. La semplicità della regola è il valore principale: chiunque annoti il mazzo può ricavarla senza consultare la matrice.</w:t>
      </w:r>
    </w:p>
    <w:p>
      <w:r>
        <w:pict>
          <v:rect style="width:0;height:1.5pt" o:hralign="center" o:hrstd="t" o:hr="t"/>
        </w:pict>
      </w:r>
    </w:p>
    <w:bookmarkEnd w:id="29"/>
    <w:bookmarkStart w:id="30" w:name="X8f1a7b5cd87b699196bb1e5c4d958aa0ec868c7"/>
    <w:p>
      <w:pPr>
        <w:pStyle w:val="Heading2"/>
      </w:pPr>
      <w:r>
        <w:t xml:space="preserve">DC-21 — Convivenza marcatore di quadrante e glifo primario in zona S</w:t>
      </w:r>
    </w:p>
    <w:p>
      <w:pPr>
        <w:pStyle w:val="FirstParagraph"/>
      </w:pPr>
      <w:r>
        <w:rPr>
          <w:b/>
          <w:bCs/>
        </w:rPr>
        <w:t xml:space="preserve">SUPERATA in v0.6 da DC-07 rev.</w:t>
      </w:r>
      <w:r>
        <w:t xml:space="preserve"> </w:t>
      </w:r>
      <w:r>
        <w:t xml:space="preserve">I marcatori di quadrante migrano sul dorso: la coesistenza con il glifo primario in zona S non si pone più. La sezione 5.1 della spec (diagramma di posizionamento) è stata rimossa.</w:t>
      </w:r>
    </w:p>
    <w:p>
      <w:r>
        <w:pict>
          <v:rect style="width:0;height:1.5pt" o:hralign="center" o:hrstd="t" o:hr="t"/>
        </w:pict>
      </w:r>
    </w:p>
    <w:bookmarkEnd w:id="30"/>
    <w:bookmarkStart w:id="31" w:name="decisioni-aperte"/>
    <w:p>
      <w:pPr>
        <w:pStyle w:val="Heading2"/>
      </w:pPr>
      <w:r>
        <w:t xml:space="preserve">Decisioni aperte</w:t>
      </w:r>
    </w:p>
    <w:p>
      <w:pPr>
        <w:pStyle w:val="FirstParagraph"/>
      </w:pPr>
      <w:r>
        <w:rPr>
          <w:b/>
          <w:bCs/>
        </w:rPr>
        <w:t xml:space="preserve">DA-01 — CHIUSA</w:t>
      </w:r>
      <w:r>
        <w:t xml:space="preserve"> </w:t>
      </w:r>
      <w:r>
        <w:t xml:space="preserve">(DC-16, DC-18): la coesistenza di più glifi nella stessa zona non si pone — ogni zona ha al massimo un glifo DECK#.</w:t>
      </w:r>
    </w:p>
    <w:p>
      <w:pPr>
        <w:pStyle w:val="BodyText"/>
      </w:pPr>
      <w:r>
        <w:rPr>
          <w:b/>
          <w:bCs/>
        </w:rPr>
        <w:t xml:space="preserve">DA-02 — Notazione per subset di mazzo:</w:t>
      </w:r>
      <w:r>
        <w:t xml:space="preserve"> </w:t>
      </w:r>
      <w:r>
        <w:t xml:space="preserve">sistema standard per documentare quale sottoinsieme viene usato (es.</w:t>
      </w:r>
      <w:r>
        <w:t xml:space="preserve"> </w:t>
      </w:r>
      <w:r>
        <w:rPr>
          <w:rStyle w:val="VerbatimChar"/>
        </w:rPr>
        <w:t xml:space="preserve">DECK#/♠A-6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DA-03 — CHIUSA:</w:t>
      </w:r>
      <w:r>
        <w:t xml:space="preserve"> </w:t>
      </w:r>
      <w:r>
        <w:t xml:space="preserve">compatibilità con mazzi non standard fuori scope per definizione. Il prerequisito di DECK# è un mazzo francese/poker standard (52 + 2 Jolly). Mazzi spagnoli, tedeschi, tarocchi non soddisfano il substrato ereditato della sezione 3.</w:t>
      </w:r>
    </w:p>
    <w:p>
      <w:pPr>
        <w:pStyle w:val="BodyText"/>
      </w:pPr>
      <w:r>
        <w:rPr>
          <w:b/>
          <w:bCs/>
        </w:rPr>
        <w:t xml:space="preserve">DA-04 — CHIUSA (rigettata):</w:t>
      </w:r>
      <w:r>
        <w:t xml:space="preserve"> </w:t>
      </w:r>
      <w:r>
        <w:t xml:space="preserve">i marcatori di quadrante sul dorso sarebbero utili in tile mode con carta coperta, ma il pattern del dorso varia da mazzo a mazzo in modo imprevedibile — su dorsi con motivi fitti i marcatori sarebbero illeggibili o nascosti. DC-07 (dorso non annotabile) rimane valido senza eccezioni.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DECK#</w:t>
      </w:r>
    </w:p>
    <w:p>
      <w:pPr>
        <w:pStyle w:val="BodyText"/>
      </w:pPr>
      <w:r>
        <w:t xml:space="preserve">© 2026 Roberto Bisceglie</w:t>
      </w:r>
    </w:p>
    <w:p>
      <w:pPr>
        <w:pStyle w:val="BodyText"/>
      </w:pPr>
      <w:r>
        <w:t xml:space="preserve">This work is licensed under Creative Commons Attribution-ShareAlike 4.0 International. To view a copy of this license, visit https://creativecommons.org/licenses/by-sa/4.0/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di Design DECK#</dc:title>
  <dc:creator>Roberto Bisceglie</dc:creator>
  <dc:language>it</dc:language>
  <cp:keywords/>
  <dcterms:created xsi:type="dcterms:W3CDTF">2026-07-01T07:30:39Z</dcterms:created>
  <dcterms:modified xsi:type="dcterms:W3CDTF">2026-07-01T07:30:39Z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rand">
    <vt:lpwstr>../../_brand.yml</vt:lpwstr>
  </property>
  <property fmtid="{D5CDD505-2E9C-101B-9397-08002B2CF9AE}" pid="5" name="by-author">
    <vt:lpwstr/>
  </property>
  <property fmtid="{D5CDD505-2E9C-101B-9397-08002B2CF9AE}" pid="6" name="cover-logo">
    <vt:lpwstr>../assets/logo.svg</vt:lpwstr>
  </property>
  <property fmtid="{D5CDD505-2E9C-101B-9397-08002B2CF9AE}" pid="7" name="date">
    <vt:lpwstr>2026-07-01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Traccia delle decisioni di progettazione</vt:lpwstr>
  </property>
  <property fmtid="{D5CDD505-2E9C-101B-9397-08002B2CF9AE}" pid="14" name="toc-title">
    <vt:lpwstr>Indice</vt:lpwstr>
  </property>
  <property fmtid="{D5CDD505-2E9C-101B-9397-08002B2CF9AE}" pid="15" name="version">
    <vt:lpwstr>1</vt:lpwstr>
  </property>
</Properties>
</file>