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DECK# Annotation Guide</w:t>
      </w:r>
    </w:p>
    <w:p>
      <w:pPr>
        <w:pStyle w:val="Subtitle"/>
      </w:pPr>
      <w:r>
        <w:t xml:space="preserve">How to physically prepare your DECK# deck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version: 0.1.0 · status: draft</w:t>
      </w:r>
    </w:p>
    <w:p>
      <w:r>
        <w:pict>
          <v:rect style="width:0;height:1.5pt" o:hralign="center" o:hrstd="t" o:hr="t"/>
        </w:pict>
      </w:r>
    </w:p>
    <w:bookmarkStart w:id="9" w:name="what-you-need"/>
    <w:p>
      <w:pPr>
        <w:pStyle w:val="Heading2"/>
      </w:pPr>
      <w:r>
        <w:t xml:space="preserve">What you need</w:t>
      </w:r>
    </w:p>
    <w:p>
      <w:pPr>
        <w:pStyle w:val="Compact"/>
        <w:numPr>
          <w:ilvl w:val="0"/>
          <w:numId w:val="1001"/>
        </w:numPr>
      </w:pPr>
      <w:r>
        <w:t xml:space="preserve">A standard French-suited playing card deck (52 cards + 2 Jokers)</w:t>
      </w:r>
    </w:p>
    <w:p>
      <w:pPr>
        <w:pStyle w:val="Compact"/>
        <w:numPr>
          <w:ilvl w:val="0"/>
          <w:numId w:val="1001"/>
        </w:numPr>
      </w:pPr>
      <w:r>
        <w:t xml:space="preserve">A fine-tip black permanent marker</w:t>
      </w:r>
    </w:p>
    <w:p>
      <w:pPr>
        <w:pStyle w:val="Compact"/>
        <w:numPr>
          <w:ilvl w:val="0"/>
          <w:numId w:val="1001"/>
        </w:numPr>
      </w:pPr>
      <w:r>
        <w:t xml:space="preserve">A fine-tip red permanent marker</w:t>
      </w:r>
    </w:p>
    <w:p>
      <w:pPr>
        <w:pStyle w:val="Compact"/>
        <w:numPr>
          <w:ilvl w:val="0"/>
          <w:numId w:val="1001"/>
        </w:numPr>
      </w:pPr>
      <w:r>
        <w:t xml:space="preserve">The annotation matrix (section 13 of the specification, or the</w:t>
      </w:r>
      <w:r>
        <w:t xml:space="preserve"> </w:t>
      </w:r>
      <w:r>
        <w:rPr>
          <w:rStyle w:val="VerbatimChar"/>
        </w:rPr>
        <w:t xml:space="preserve">decksharp_matrix.csv</w:t>
      </w:r>
      <w:r>
        <w:t xml:space="preserve"> </w:t>
      </w:r>
      <w:r>
        <w:t xml:space="preserve">file)</w:t>
      </w:r>
    </w:p>
    <w:p>
      <w:pPr>
        <w:pStyle w:val="FirstParagraph"/>
      </w:pPr>
      <w:r>
        <w:t xml:space="preserve">Estimated time: 15–20 minutes.</w:t>
      </w:r>
    </w:p>
    <w:p>
      <w:r>
        <w:pict>
          <v:rect style="width:0;height:1.5pt" o:hralign="center" o:hrstd="t" o:hr="t"/>
        </w:pict>
      </w:r>
    </w:p>
    <w:bookmarkEnd w:id="9"/>
    <w:bookmarkStart w:id="10" w:name="before-you-begin"/>
    <w:p>
      <w:pPr>
        <w:pStyle w:val="Heading2"/>
      </w:pPr>
      <w:r>
        <w:t xml:space="preserve">Before you begin</w:t>
      </w:r>
    </w:p>
    <w:p>
      <w:pPr>
        <w:pStyle w:val="FirstParagraph"/>
      </w:pPr>
      <w:r>
        <w:t xml:space="preserve">The DECK# deck is annotated</w:t>
      </w:r>
      <w:r>
        <w:t xml:space="preserve"> </w:t>
      </w:r>
      <w:r>
        <w:rPr>
          <w:b/>
          <w:bCs/>
        </w:rPr>
        <w:t xml:space="preserve">once</w:t>
      </w:r>
      <w:r>
        <w:t xml:space="preserve">, before any play session. Annotations are permanent. There is no in-game annotation: variable states are managed with physical tokens (dice, tokens, coins).</w:t>
      </w:r>
    </w:p>
    <w:p>
      <w:pPr>
        <w:pStyle w:val="BodyText"/>
      </w:pPr>
      <w:r>
        <w:t xml:space="preserve">Each card receives four types of annotation, in distinct zones: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 markers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Black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 markers</w:t>
            </w:r>
          </w:p>
        </w:tc>
        <w:tc>
          <w:tcPr/>
          <w:p>
            <w:pPr>
              <w:pStyle w:val="Compact"/>
            </w:pPr>
            <w:r>
              <w:t xml:space="preserve">Physical edges (front face)</w:t>
            </w:r>
          </w:p>
        </w:tc>
        <w:tc>
          <w:tcPr/>
          <w:p>
            <w:pPr>
              <w:pStyle w:val="Compact"/>
            </w:pPr>
            <w:r>
              <w:t xml:space="preserve">Black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 dot (north pole)</w:t>
            </w:r>
          </w:p>
        </w:tc>
        <w:tc>
          <w:tcPr/>
          <w:p>
            <w:pPr>
              <w:pStyle w:val="Compact"/>
            </w:pPr>
            <w:r>
              <w:t xml:space="preserve">SE corner (front face)</w:t>
            </w:r>
          </w:p>
        </w:tc>
        <w:tc>
          <w:tcPr/>
          <w:p>
            <w:pPr>
              <w:pStyle w:val="Compact"/>
            </w:pPr>
            <w:r>
              <w:t xml:space="preserve">Black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glyph + modifier</w:t>
            </w:r>
          </w:p>
        </w:tc>
        <w:tc>
          <w:tcPr/>
          <w:p>
            <w:pPr>
              <w:pStyle w:val="Compact"/>
            </w:pPr>
            <w:r>
              <w:t xml:space="preserve">S/N and NE/SW zones (front face)</w:t>
            </w:r>
          </w:p>
        </w:tc>
        <w:tc>
          <w:tcPr/>
          <w:p>
            <w:pPr>
              <w:pStyle w:val="Compact"/>
            </w:pPr>
            <w:r>
              <w:t xml:space="preserve">Black or red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Color rule:</w:t>
      </w:r>
      <w:r>
        <w:t xml:space="preserve"> </w:t>
      </w:r>
      <w:r>
        <w:t xml:space="preserve">glyph color is always contrasting relative to the card’s suit.</w:t>
      </w:r>
      <w:r>
        <w:t xml:space="preserve"> </w:t>
      </w:r>
      <w:r>
        <w:t xml:space="preserve">- Red cards (♥ ♦) → glyphs in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- Black cards (♣ ♠) → glyphs in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BodyText"/>
      </w:pPr>
      <w:r>
        <w:t xml:space="preserve">Glyph color is not a choice: it is automatically derived from suit.</w:t>
      </w:r>
    </w:p>
    <w:p>
      <w:r>
        <w:pict>
          <v:rect style="width:0;height:1.5pt" o:hralign="center" o:hrstd="t" o:hr="t"/>
        </w:pict>
      </w:r>
    </w:p>
    <w:bookmarkEnd w:id="10"/>
    <w:bookmarkStart w:id="11" w:name="preparation-sorting-the-deck"/>
    <w:p>
      <w:pPr>
        <w:pStyle w:val="Heading2"/>
      </w:pPr>
      <w:r>
        <w:t xml:space="preserve">Preparation: sorting the deck</w:t>
      </w:r>
    </w:p>
    <w:p>
      <w:pPr>
        <w:pStyle w:val="FirstParagraph"/>
      </w:pPr>
      <w:r>
        <w:t xml:space="preserve">Separate the deck into three groups: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 cards</w:t>
      </w:r>
      <w:r>
        <w:t xml:space="preserve"> </w:t>
      </w:r>
      <w:r>
        <w:t xml:space="preserve">(♥ ♦) — 26 cards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 cards</w:t>
      </w:r>
      <w:r>
        <w:t xml:space="preserve"> </w:t>
      </w:r>
      <w:r>
        <w:t xml:space="preserve">(♣ ♠) — 26 cards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Jokers</w:t>
      </w:r>
      <w:r>
        <w:t xml:space="preserve"> </w:t>
      </w:r>
      <w:r>
        <w:t xml:space="preserve">— 2 cards, set aside</w:t>
      </w:r>
    </w:p>
    <w:p>
      <w:pPr>
        <w:pStyle w:val="FirstParagraph"/>
      </w:pPr>
      <w:r>
        <w:t xml:space="preserve">Work first on</w:t>
      </w:r>
      <w:r>
        <w:t xml:space="preserve"> </w:t>
      </w:r>
      <w:r>
        <w:rPr>
          <w:b/>
          <w:bCs/>
        </w:rPr>
        <w:t xml:space="preserve">red cards</w:t>
      </w:r>
      <w:r>
        <w:t xml:space="preserve">: they require only the black marker for all annotation. Then proceed to</w:t>
      </w:r>
      <w:r>
        <w:t xml:space="preserve"> </w:t>
      </w:r>
      <w:r>
        <w:rPr>
          <w:b/>
          <w:bCs/>
        </w:rPr>
        <w:t xml:space="preserve">black cards</w:t>
      </w:r>
      <w:r>
        <w:t xml:space="preserve">: they require a tool switch only in the final phase (glyphs in red). Handle</w:t>
      </w:r>
      <w:r>
        <w:t xml:space="preserve"> </w:t>
      </w:r>
      <w:r>
        <w:rPr>
          <w:b/>
          <w:bCs/>
        </w:rPr>
        <w:t xml:space="preserve">Jokers</w:t>
      </w:r>
      <w:r>
        <w:t xml:space="preserve"> </w:t>
      </w:r>
      <w:r>
        <w:t xml:space="preserve">last — they have minimal, separate annotation.</w:t>
      </w:r>
    </w:p>
    <w:p>
      <w:r>
        <w:pict>
          <v:rect style="width:0;height:1.5pt" o:hralign="center" o:hrstd="t" o:hr="t"/>
        </w:pict>
      </w:r>
    </w:p>
    <w:bookmarkEnd w:id="11"/>
    <w:bookmarkStart w:id="12" w:name="phase-1-quadrant-markers-back"/>
    <w:p>
      <w:pPr>
        <w:pStyle w:val="Heading2"/>
      </w:pPr>
      <w:r>
        <w:t xml:space="preserve">Phase 1 — Quadrant markers (back)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black marker.</w:t>
      </w:r>
    </w:p>
    <w:p>
      <w:pPr>
        <w:pStyle w:val="BodyText"/>
      </w:pPr>
      <w:r>
        <w:t xml:space="preserve">With cards oriented face-down, draw quadrant markers on all 54 cards (red + black + Jokers).</w:t>
      </w:r>
    </w:p>
    <w:p>
      <w:pPr>
        <w:pStyle w:val="BodyText"/>
      </w:pPr>
      <w:r>
        <w:t xml:space="preserve">Quadrant markers are identical on all cards and indicate the center and sides of the card to the player when it is placed face-down on the table. Choose one of the two variants and keep it consistent throughout the deck:</w:t>
      </w:r>
    </w:p>
    <w:p>
      <w:pPr>
        <w:pStyle w:val="BodyText"/>
      </w:pPr>
      <w:r>
        <w:rPr>
          <w:b/>
          <w:bCs/>
        </w:rPr>
        <w:t xml:space="preserve">Minimal variant</w:t>
      </w:r>
      <w:r>
        <w:t xml:space="preserve"> </w:t>
      </w:r>
      <w:r>
        <w:t xml:space="preserve">— four short segments starting from the midpoint of each edge toward the center, without crossing it: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     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rPr>
          <w:b/>
          <w:bCs/>
        </w:rPr>
        <w:t xml:space="preserve">Extended variant</w:t>
      </w:r>
      <w:r>
        <w:t xml:space="preserve"> </w:t>
      </w:r>
      <w:r>
        <w:t xml:space="preserve">— full cross from edge to edge: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————+————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t xml:space="preserve">Allow the ink to dry before flipping the cards.</w:t>
      </w:r>
    </w:p>
    <w:p>
      <w:r>
        <w:pict>
          <v:rect style="width:0;height:1.5pt" o:hralign="center" o:hrstd="t" o:hr="t"/>
        </w:pict>
      </w:r>
    </w:p>
    <w:bookmarkEnd w:id="12"/>
    <w:bookmarkStart w:id="13" w:name="phase-2-connectivity-markers-edges"/>
    <w:p>
      <w:pPr>
        <w:pStyle w:val="Heading2"/>
      </w:pPr>
      <w:r>
        <w:t xml:space="preserve">Phase 2 — Connectivity markers (edges)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black marker.</w:t>
      </w:r>
    </w:p>
    <w:p>
      <w:pPr>
        <w:pStyle w:val="BodyText"/>
      </w:pPr>
      <w:r>
        <w:t xml:space="preserve">Consult the annotation matrix. For each card, the</w:t>
      </w:r>
      <w:r>
        <w:t xml:space="preserve"> </w:t>
      </w:r>
      <w:r>
        <w:rPr>
          <w:b/>
          <w:bCs/>
        </w:rPr>
        <w:t xml:space="preserve">Connectivity</w:t>
      </w:r>
      <w:r>
        <w:t xml:space="preserve"> </w:t>
      </w:r>
      <w:r>
        <w:t xml:space="preserve">column indicates which edges are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(connected). Edges not listed receive a</w:t>
      </w:r>
      <w:r>
        <w:t xml:space="preserve"> </w:t>
      </w:r>
      <w:r>
        <w:rPr>
          <w:b/>
          <w:bCs/>
        </w:rPr>
        <w:t xml:space="preserve">wall marker</w:t>
      </w:r>
      <w:r>
        <w:t xml:space="preserve">: a thick line drawn along the external white margin of the card (~3–4 mm), on the front face.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the matrix shows</w:t>
      </w:r>
      <w:r>
        <w:t xml:space="preserve"> </w:t>
      </w:r>
      <w:r>
        <w:rPr>
          <w:rStyle w:val="VerbatimChar"/>
        </w:rPr>
        <w:t xml:space="preserve">N+W</w:t>
      </w:r>
      <w:r>
        <w:t xml:space="preserve">, the North and West edges are open — leave them unmarked. The South and East edges receive the wall marker.</w:t>
      </w:r>
    </w:p>
    <w:p>
      <w:pPr>
        <w:pStyle w:val="BodyText"/>
      </w:pPr>
      <w:r>
        <w:t xml:space="preserve">Allow a few seconds of drying time between cards before stacking them.</w:t>
      </w:r>
    </w:p>
    <w:p>
      <w:r>
        <w:pict>
          <v:rect style="width:0;height:1.5pt" o:hralign="center" o:hrstd="t" o:hr="t"/>
        </w:pict>
      </w:r>
    </w:p>
    <w:bookmarkEnd w:id="13"/>
    <w:bookmarkStart w:id="14" w:name="phase-3-orientation-dot-north-pole"/>
    <w:p>
      <w:pPr>
        <w:pStyle w:val="Heading2"/>
      </w:pPr>
      <w:r>
        <w:t xml:space="preserve">Phase 3 — Orientation dot (north pole)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black marker.</w:t>
      </w:r>
    </w:p>
    <w:p>
      <w:pPr>
        <w:pStyle w:val="BodyText"/>
      </w:pPr>
      <w:r>
        <w:t xml:space="preserve">Draw a small dot</w:t>
      </w:r>
      <w:r>
        <w:t xml:space="preserve"> </w:t>
      </w:r>
      <w:r>
        <w:rPr>
          <w:rStyle w:val="VerbatimChar"/>
        </w:rPr>
        <w:t xml:space="preserve">•</w:t>
      </w:r>
      <w:r>
        <w:t xml:space="preserve"> </w:t>
      </w:r>
      <w:r>
        <w:t xml:space="preserve">in the far lower right corner of each card — the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zone of the front face. This dot breaks the vertical symmetry of standard cards and indicates the north pole: the side with the pre-printed index at top left (NW).</w:t>
      </w:r>
    </w:p>
    <w:p>
      <w:pPr>
        <w:pStyle w:val="BodyText"/>
      </w:pPr>
      <w:r>
        <w:t xml:space="preserve">The dot goes on all 52 standard cards and both Jokers.</w:t>
      </w:r>
    </w:p>
    <w:p>
      <w:r>
        <w:pict>
          <v:rect style="width:0;height:1.5pt" o:hralign="center" o:hrstd="t" o:hr="t"/>
        </w:pict>
      </w:r>
    </w:p>
    <w:bookmarkEnd w:id="14"/>
    <w:bookmarkStart w:id="15" w:name="phase-4-primary-glyphs-and-modifiers"/>
    <w:p>
      <w:pPr>
        <w:pStyle w:val="Heading2"/>
      </w:pPr>
      <w:r>
        <w:t xml:space="preserve">Phase 4 — Primary glyphs and modifiers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black marker for red cards (♥ ♦) · red marker for black cards (♣ ♠).</w:t>
      </w:r>
    </w:p>
    <w:p>
      <w:pPr>
        <w:pStyle w:val="BodyText"/>
      </w:pPr>
      <w:r>
        <w:t xml:space="preserve">Consult the annotation matrix. For each card, annotate: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glyph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zone (lower middle edge, inside the card) and its rotated mirror in the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zone (upper middle edge).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Modifier glyph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corner (upper right corner) and its rotated mirror in the</w:t>
      </w:r>
      <w:r>
        <w:t xml:space="preserve"> </w:t>
      </w:r>
      <w:r>
        <w:rPr>
          <w:b/>
          <w:bCs/>
        </w:rPr>
        <w:t xml:space="preserve">SW</w:t>
      </w:r>
      <w:r>
        <w:t xml:space="preserve"> </w:t>
      </w:r>
      <w:r>
        <w:t xml:space="preserve">zone (lower left corner).</w:t>
      </w:r>
    </w:p>
    <w:p>
      <w:pPr>
        <w:pStyle w:val="FirstParagraph"/>
      </w:pPr>
      <w:r>
        <w:t xml:space="preserve">The mirror positions (N and SW) make the card readable in a fan, regardless of orientation in hand.</w:t>
      </w:r>
    </w:p>
    <w:p>
      <w:pPr>
        <w:pStyle w:val="BodyText"/>
      </w:pPr>
      <w:r>
        <w:t xml:space="preserve">The DECK# vocabulary comprises seven glyphs: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How to draw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•</w:t>
            </w:r>
            <w:r>
              <w:t xml:space="preserve"> </w:t>
            </w:r>
            <w:r>
              <w:t xml:space="preserve">dot</w:t>
            </w:r>
          </w:p>
        </w:tc>
        <w:tc>
          <w:tcPr/>
          <w:p>
            <w:pPr>
              <w:pStyle w:val="Compact"/>
            </w:pPr>
            <w:r>
              <w:t xml:space="preserve">a single dot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a horizontal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two perpendicular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×</w:t>
            </w:r>
            <w:r>
              <w:t xml:space="preserve"> </w:t>
            </w:r>
            <w:r>
              <w:t xml:space="preserve">diagonal</w:t>
            </w:r>
          </w:p>
        </w:tc>
        <w:tc>
          <w:tcPr/>
          <w:p>
            <w:pPr>
              <w:pStyle w:val="Compact"/>
            </w:pPr>
            <w:r>
              <w:t xml:space="preserve">two diagonal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△</w:t>
            </w:r>
            <w:r>
              <w:t xml:space="preserve"> </w:t>
            </w:r>
            <w:r>
              <w:t xml:space="preserve">triangle</w:t>
            </w:r>
          </w:p>
        </w:tc>
        <w:tc>
          <w:tcPr/>
          <w:p>
            <w:pPr>
              <w:pStyle w:val="Compact"/>
            </w:pPr>
            <w:r>
              <w:t xml:space="preserve">three strokes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○</w:t>
            </w:r>
            <w:r>
              <w:t xml:space="preserve"> </w:t>
            </w:r>
            <w:r>
              <w:t xml:space="preserve">circle</w:t>
            </w:r>
          </w:p>
        </w:tc>
        <w:tc>
          <w:tcPr/>
          <w:p>
            <w:pPr>
              <w:pStyle w:val="Compact"/>
            </w:pPr>
            <w:r>
              <w:t xml:space="preserve">a closed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□</w:t>
            </w:r>
            <w:r>
              <w:t xml:space="preserve"> </w:t>
            </w:r>
            <w:r>
              <w:t xml:space="preserve">square</w:t>
            </w:r>
          </w:p>
        </w:tc>
        <w:tc>
          <w:tcPr/>
          <w:p>
            <w:pPr>
              <w:pStyle w:val="Compact"/>
            </w:pPr>
            <w:r>
              <w:t xml:space="preserve">four strokes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xception-jokers"/>
    <w:p>
      <w:pPr>
        <w:pStyle w:val="Heading2"/>
      </w:pPr>
      <w:r>
        <w:t xml:space="preserve">Exception: Jokers</w:t>
      </w:r>
    </w:p>
    <w:p>
      <w:pPr>
        <w:pStyle w:val="FirstParagraph"/>
      </w:pPr>
      <w:r>
        <w:t xml:space="preserve">The two Jokers receive the</w:t>
      </w:r>
      <w:r>
        <w:t xml:space="preserve"> </w:t>
      </w:r>
      <w:r>
        <w:rPr>
          <w:b/>
          <w:bCs/>
        </w:rPr>
        <w:t xml:space="preserve">quadrant marker</w:t>
      </w:r>
      <w:r>
        <w:t xml:space="preserve"> </w:t>
      </w:r>
      <w:r>
        <w:t xml:space="preserve">on the back (Phase 1, identical to the 52 standard cards) and the</w:t>
      </w:r>
      <w:r>
        <w:t xml:space="preserve"> </w:t>
      </w:r>
      <w:r>
        <w:rPr>
          <w:b/>
          <w:bCs/>
        </w:rPr>
        <w:t xml:space="preserve">orientation dot</w:t>
      </w:r>
      <w:r>
        <w:t xml:space="preserve"> </w:t>
      </w:r>
      <w:r>
        <w:t xml:space="preserve">in the SE zone (Phase 3). No connectivity markers, no primary glyph, no modifier.</w:t>
      </w:r>
    </w:p>
    <w:p>
      <w:pPr>
        <w:pStyle w:val="BodyText"/>
      </w:pPr>
      <w:r>
        <w:t xml:space="preserve">They are uninstantiated variables: each game decides whether and how to use them.</w:t>
      </w:r>
    </w:p>
    <w:p>
      <w:r>
        <w:pict>
          <v:rect style="width:0;height:1.5pt" o:hralign="center" o:hrstd="t" o:hr="t"/>
        </w:pict>
      </w:r>
    </w:p>
    <w:bookmarkEnd w:id="16"/>
    <w:bookmarkStart w:id="17" w:name="summary-chart-per-card"/>
    <w:p>
      <w:pPr>
        <w:pStyle w:val="Heading2"/>
      </w:pPr>
      <w:r>
        <w:t xml:space="preserve">Summary chart per 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52 standard cards</w:t>
            </w:r>
          </w:p>
        </w:tc>
        <w:tc>
          <w:tcPr/>
          <w:p>
            <w:pPr>
              <w:pStyle w:val="Compact"/>
            </w:pPr>
            <w:r>
              <w:t xml:space="preserve">2 Jokers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 markers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 markers</w:t>
            </w:r>
          </w:p>
        </w:tc>
        <w:tc>
          <w:tcPr/>
          <w:p>
            <w:pPr>
              <w:pStyle w:val="Compact"/>
            </w:pPr>
            <w:r>
              <w:t xml:space="preserve">Front face edges</w:t>
            </w:r>
          </w:p>
        </w:tc>
        <w:tc>
          <w:tcPr/>
          <w:p>
            <w:pPr>
              <w:pStyle w:val="Compact"/>
            </w:pPr>
            <w:r>
              <w:t xml:space="preserve">✓ (from matrix)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pole dot</w:t>
            </w:r>
          </w:p>
        </w:tc>
        <w:tc>
          <w:tcPr/>
          <w:p>
            <w:pPr>
              <w:pStyle w:val="Compact"/>
            </w:pPr>
            <w:r>
              <w:t xml:space="preserve">SE corner front face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glyph</w:t>
            </w:r>
          </w:p>
        </w:tc>
        <w:tc>
          <w:tcPr/>
          <w:p>
            <w:pPr>
              <w:pStyle w:val="Compact"/>
            </w:pPr>
            <w:r>
              <w:t xml:space="preserve">S + N zones front face</w:t>
            </w:r>
          </w:p>
        </w:tc>
        <w:tc>
          <w:tcPr/>
          <w:p>
            <w:pPr>
              <w:pStyle w:val="Compact"/>
            </w:pPr>
            <w:r>
              <w:t xml:space="preserve">✓ (from matrix)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glyph</w:t>
            </w:r>
          </w:p>
        </w:tc>
        <w:tc>
          <w:tcPr/>
          <w:p>
            <w:pPr>
              <w:pStyle w:val="Compact"/>
            </w:pPr>
            <w:r>
              <w:t xml:space="preserve">NE + SW zones front face</w:t>
            </w:r>
          </w:p>
        </w:tc>
        <w:tc>
          <w:tcPr/>
          <w:p>
            <w:pPr>
              <w:pStyle w:val="Compact"/>
            </w:pPr>
            <w:r>
              <w:t xml:space="preserve">✓ (from matrix)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how-to-read-the-annotation-matrix"/>
    <w:p>
      <w:pPr>
        <w:pStyle w:val="Heading2"/>
      </w:pPr>
      <w:r>
        <w:t xml:space="preserve">How to read the annotation matrix</w:t>
      </w:r>
    </w:p>
    <w:p>
      <w:pPr>
        <w:pStyle w:val="FirstParagraph"/>
      </w:pPr>
      <w:r>
        <w:t xml:space="preserve">The matrix lists all 54 cards with three pieces of information: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Connectivity:</w:t>
      </w:r>
      <w:r>
        <w:t xml:space="preserve"> </w:t>
      </w:r>
      <w:r>
        <w:t xml:space="preserve">open edges, in N/S/E/W notation separated by</w:t>
      </w:r>
      <w:r>
        <w:t xml:space="preserve"> </w:t>
      </w:r>
      <w:r>
        <w:rPr>
          <w:rStyle w:val="VerbatimChar"/>
        </w:rPr>
        <w:t xml:space="preserve">+</w:t>
      </w:r>
      <w:r>
        <w:t xml:space="preserve">. Edges not listed receive the wall marker.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the glyph to draw in the S zone (and its mirror in 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Modifier:</w:t>
      </w:r>
      <w:r>
        <w:t xml:space="preserve"> </w:t>
      </w:r>
      <w:r>
        <w:t xml:space="preserve">the glyph to draw in the NE zone (and its mirror in SW).</w:t>
      </w:r>
    </w:p>
    <w:p>
      <w:pPr>
        <w:pStyle w:val="FirstParagraph"/>
      </w:pPr>
      <w:r>
        <w:t xml:space="preserve">Glyph color is not in the matrix because it is always derived from suit: black for ♥/♦, red for ♣/♠.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DECK#</w:t>
      </w:r>
    </w:p>
    <w:p>
      <w:pPr>
        <w:pStyle w:val="BodyText"/>
      </w:pPr>
      <w:r>
        <w:t xml:space="preserve">© 2026 Roberto Bisceglie</w:t>
      </w:r>
    </w:p>
    <w:p>
      <w:pPr>
        <w:pStyle w:val="BodyText"/>
      </w:pPr>
      <w:r>
        <w:t xml:space="preserve">This work is licensed under Creative Commons Attribution-ShareAlike 4.0 International. To view a copy of this license, visit https://creativecommons.org/licenses/by-sa/4.0/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DECK# Annotation Guide</dc:title>
  <dc:creator>Roberto Bisceglie</dc:creator>
  <dc:language>en</dc:language>
  <cp:keywords/>
  <dcterms:created xsi:type="dcterms:W3CDTF">2026-07-01T07:47:43Z</dcterms:created>
  <dcterms:modified xsi:type="dcterms:W3CDTF">2026-07-01T07:47:43Z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../../_brand.yml</vt:lpwstr>
  </property>
  <property fmtid="{D5CDD505-2E9C-101B-9397-08002B2CF9AE}" pid="5" name="by-author">
    <vt:lpwstr/>
  </property>
  <property fmtid="{D5CDD505-2E9C-101B-9397-08002B2CF9AE}" pid="6" name="cover-logo">
    <vt:lpwstr>../assets/logo.svg</vt:lpwstr>
  </property>
  <property fmtid="{D5CDD505-2E9C-101B-9397-08002B2CF9AE}" pid="7" name="date">
    <vt:lpwstr>2026-07-01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How to physically prepare your DECK# deck</vt:lpwstr>
  </property>
  <property fmtid="{D5CDD505-2E9C-101B-9397-08002B2CF9AE}" pid="14" name="toc-title">
    <vt:lpwstr>Table of contents</vt:lpwstr>
  </property>
  <property fmtid="{D5CDD505-2E9C-101B-9397-08002B2CF9AE}" pid="15" name="version">
    <vt:lpwstr>1</vt:lpwstr>
  </property>
</Properties>
</file>