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Guida all’Annotazione DECK#</w:t>
      </w:r>
    </w:p>
    <w:p>
      <w:pPr>
        <w:pStyle w:val="Subtitle"/>
      </w:pPr>
      <w:r>
        <w:t xml:space="preserve">Come preparare fisicamente il tuo mazzo DECK#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cosa-serve"/>
    <w:p>
      <w:pPr>
        <w:pStyle w:val="Heading2"/>
      </w:pPr>
      <w:r>
        <w:t xml:space="preserve">Cosa serve</w:t>
      </w:r>
    </w:p>
    <w:p>
      <w:pPr>
        <w:pStyle w:val="Compact"/>
        <w:numPr>
          <w:ilvl w:val="0"/>
          <w:numId w:val="1001"/>
        </w:numPr>
      </w:pPr>
      <w:r>
        <w:t xml:space="preserve">Un mazzo di carte francesi standard (52 carte + 2 Jolly)</w:t>
      </w:r>
    </w:p>
    <w:p>
      <w:pPr>
        <w:pStyle w:val="Compact"/>
        <w:numPr>
          <w:ilvl w:val="0"/>
          <w:numId w:val="1001"/>
        </w:numPr>
      </w:pPr>
      <w:r>
        <w:t xml:space="preserve">Un pennarello permanente nero a punta fine</w:t>
      </w:r>
    </w:p>
    <w:p>
      <w:pPr>
        <w:pStyle w:val="Compact"/>
        <w:numPr>
          <w:ilvl w:val="0"/>
          <w:numId w:val="1001"/>
        </w:numPr>
      </w:pPr>
      <w:r>
        <w:t xml:space="preserve">Un pennarello permanente rosso a punta fine</w:t>
      </w:r>
    </w:p>
    <w:p>
      <w:pPr>
        <w:pStyle w:val="Compact"/>
        <w:numPr>
          <w:ilvl w:val="0"/>
          <w:numId w:val="1001"/>
        </w:numPr>
      </w:pPr>
      <w:r>
        <w:t xml:space="preserve">La matrice di annotazione (sezione 13 della specifica, o il file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)</w:t>
      </w:r>
    </w:p>
    <w:p>
      <w:pPr>
        <w:pStyle w:val="FirstParagraph"/>
      </w:pPr>
      <w:r>
        <w:t xml:space="preserve">Tempo stimato: 15–20 minuti.</w:t>
      </w:r>
    </w:p>
    <w:p>
      <w:r>
        <w:pict>
          <v:rect style="width:0;height:1.5pt" o:hralign="center" o:hrstd="t" o:hr="t"/>
        </w:pict>
      </w:r>
    </w:p>
    <w:bookmarkEnd w:id="9"/>
    <w:bookmarkStart w:id="10" w:name="prima-di-iniziare"/>
    <w:p>
      <w:pPr>
        <w:pStyle w:val="Heading2"/>
      </w:pPr>
      <w:r>
        <w:t xml:space="preserve">Prima di iniziare</w:t>
      </w:r>
    </w:p>
    <w:p>
      <w:pPr>
        <w:pStyle w:val="FirstParagraph"/>
      </w:pPr>
      <w:r>
        <w:t xml:space="preserve">Il mazzo DECK# si annota</w:t>
      </w:r>
      <w:r>
        <w:t xml:space="preserve"> </w:t>
      </w:r>
      <w:r>
        <w:rPr>
          <w:b/>
          <w:bCs/>
        </w:rPr>
        <w:t xml:space="preserve">una volta sola</w:t>
      </w:r>
      <w:r>
        <w:t xml:space="preserve">, prima di qualsiasi partita. Le annotazioni sono permanenti. Non ci sono annotazioni da fare durante il gioco: gli stati variabili si gestiscono con token fisici (dadi, segnalini, monete).</w:t>
      </w:r>
    </w:p>
    <w:p>
      <w:pPr>
        <w:pStyle w:val="BodyText"/>
      </w:pPr>
      <w:r>
        <w:t xml:space="preserve">Ogni carta riceve quattro tipi di annotazione, in zone distinte: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Annotazione</w:t>
            </w:r>
          </w:p>
        </w:tc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Strumento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fisici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di orientamento (polo nord)</w:t>
            </w:r>
          </w:p>
        </w:tc>
        <w:tc>
          <w:tcPr/>
          <w:p>
            <w:pPr>
              <w:pStyle w:val="Compact"/>
            </w:pPr>
            <w:r>
              <w:t xml:space="preserve">Angolo SE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 + modificatore</w:t>
            </w:r>
          </w:p>
        </w:tc>
        <w:tc>
          <w:tcPr/>
          <w:p>
            <w:pPr>
              <w:pStyle w:val="Compact"/>
            </w:pPr>
            <w:r>
              <w:t xml:space="preserve">Zone S/N e NE/SW (recto)</w:t>
            </w:r>
          </w:p>
        </w:tc>
        <w:tc>
          <w:tcPr/>
          <w:p>
            <w:pPr>
              <w:pStyle w:val="Compact"/>
            </w:pPr>
            <w:r>
              <w:t xml:space="preserve">Nero o rosso (vedi sotto)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Regola cromatica:</w:t>
      </w:r>
      <w:r>
        <w:t xml:space="preserve"> </w:t>
      </w:r>
      <w:r>
        <w:t xml:space="preserve">il colore del glifo è sempre contrastante rispetto al seme della carta.</w:t>
      </w:r>
      <w:r>
        <w:t xml:space="preserve"> </w:t>
      </w:r>
      <w:r>
        <w:t xml:space="preserve">- Carte rosse (♥ ♦) → glifi in</w:t>
      </w:r>
      <w:r>
        <w:t xml:space="preserve"> </w:t>
      </w:r>
      <w:r>
        <w:rPr>
          <w:b/>
          <w:bCs/>
        </w:rPr>
        <w:t xml:space="preserve">nero</w:t>
      </w:r>
      <w:r>
        <w:t xml:space="preserve"> </w:t>
      </w:r>
      <w:r>
        <w:t xml:space="preserve">- Carte nere (♣ ♠) →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BodyText"/>
      </w:pPr>
      <w:r>
        <w:t xml:space="preserve">Il colore del glifo non è una scelta: si ricava automaticamente dal seme.</w:t>
      </w:r>
    </w:p>
    <w:p>
      <w:r>
        <w:pict>
          <v:rect style="width:0;height:1.5pt" o:hralign="center" o:hrstd="t" o:hr="t"/>
        </w:pict>
      </w:r>
    </w:p>
    <w:bookmarkEnd w:id="10"/>
    <w:bookmarkStart w:id="11" w:name="preparazione-divisione-del-mazzo"/>
    <w:p>
      <w:pPr>
        <w:pStyle w:val="Heading2"/>
      </w:pPr>
      <w:r>
        <w:t xml:space="preserve">Preparazione: divisione del mazzo</w:t>
      </w:r>
    </w:p>
    <w:p>
      <w:pPr>
        <w:pStyle w:val="FirstParagraph"/>
      </w:pPr>
      <w:r>
        <w:t xml:space="preserve">Separa il mazzo in tre gruppi: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rosse</w:t>
      </w:r>
      <w:r>
        <w:t xml:space="preserve"> </w:t>
      </w:r>
      <w:r>
        <w:t xml:space="preserve">(♥ ♦)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nere</w:t>
      </w:r>
      <w:r>
        <w:t xml:space="preserve"> </w:t>
      </w:r>
      <w:r>
        <w:t xml:space="preserve">(♣ ♠)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Jolly</w:t>
      </w:r>
      <w:r>
        <w:t xml:space="preserve"> </w:t>
      </w:r>
      <w:r>
        <w:t xml:space="preserve">— 2 carte, messe da parte</w:t>
      </w:r>
    </w:p>
    <w:p>
      <w:pPr>
        <w:pStyle w:val="FirstParagraph"/>
      </w:pPr>
      <w:r>
        <w:t xml:space="preserve">Lavora prima sulle</w:t>
      </w:r>
      <w:r>
        <w:t xml:space="preserve"> </w:t>
      </w:r>
      <w:r>
        <w:rPr>
          <w:b/>
          <w:bCs/>
        </w:rPr>
        <w:t xml:space="preserve">carte rosse</w:t>
      </w:r>
      <w:r>
        <w:t xml:space="preserve">: richiedono solo il pennarello nero per l’intera annotazione. Procedi poi con le</w:t>
      </w:r>
      <w:r>
        <w:t xml:space="preserve"> </w:t>
      </w:r>
      <w:r>
        <w:rPr>
          <w:b/>
          <w:bCs/>
        </w:rPr>
        <w:t xml:space="preserve">carte nere</w:t>
      </w:r>
      <w:r>
        <w:t xml:space="preserve">: richiedono il cambio di strumento solo nell’ultima fase (glifi in rosso). Affronta i</w:t>
      </w:r>
      <w:r>
        <w:t xml:space="preserve"> </w:t>
      </w:r>
      <w:r>
        <w:rPr>
          <w:b/>
          <w:bCs/>
        </w:rPr>
        <w:t xml:space="preserve">Jolly</w:t>
      </w:r>
      <w:r>
        <w:t xml:space="preserve"> </w:t>
      </w:r>
      <w:r>
        <w:t xml:space="preserve">alla fine — hanno un’annotazione minima e separata.</w:t>
      </w:r>
    </w:p>
    <w:p>
      <w:r>
        <w:pict>
          <v:rect style="width:0;height:1.5pt" o:hralign="center" o:hrstd="t" o:hr="t"/>
        </w:pict>
      </w:r>
    </w:p>
    <w:bookmarkEnd w:id="11"/>
    <w:bookmarkStart w:id="12" w:name="fase-1-marcatori-di-quadrante-dorso"/>
    <w:p>
      <w:pPr>
        <w:pStyle w:val="Heading2"/>
      </w:pPr>
      <w:r>
        <w:t xml:space="preserve">Fase 1 — Marcatori di quadrante (dorso)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 le carte orientate sul dorso, traccia i marcatori di quadrante su tutte le 54 carte (rosse + nere + Jolly).</w:t>
      </w:r>
    </w:p>
    <w:p>
      <w:pPr>
        <w:pStyle w:val="BodyText"/>
      </w:pPr>
      <w:r>
        <w:t xml:space="preserve">I marcatori di quadrante sono identici su tutte le carte e indicano al giocatore il centro e i lati della carta quando è posata coperta sul tavolo. Scegli una delle due varianti e mantienila per tutto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che partono dal punto medio di ciascun bordo verso il centro, senza attraversarlo: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Lascia asciugare l’inchiostro prima di girare le carte.</w:t>
      </w:r>
    </w:p>
    <w:p>
      <w:r>
        <w:pict>
          <v:rect style="width:0;height:1.5pt" o:hralign="center" o:hrstd="t" o:hr="t"/>
        </w:pict>
      </w:r>
    </w:p>
    <w:bookmarkEnd w:id="12"/>
    <w:bookmarkStart w:id="13" w:name="fase-2-marcatori-di-connettività-bordi"/>
    <w:p>
      <w:pPr>
        <w:pStyle w:val="Heading2"/>
      </w:pPr>
      <w:r>
        <w:t xml:space="preserve">Fase 2 — Marcatori di connettività (bordi)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Consulta la matrice di annotazione. Per ogni carta, la colonna</w:t>
      </w:r>
      <w:r>
        <w:t xml:space="preserve"> </w:t>
      </w:r>
      <w:r>
        <w:rPr>
          <w:b/>
          <w:bCs/>
        </w:rPr>
        <w:t xml:space="preserve">Connettività</w:t>
      </w:r>
      <w:r>
        <w:t xml:space="preserve"> </w:t>
      </w:r>
      <w:r>
        <w:t xml:space="preserve">indica quali bordi sono</w:t>
      </w:r>
      <w:r>
        <w:t xml:space="preserve"> </w:t>
      </w:r>
      <w:r>
        <w:rPr>
          <w:b/>
          <w:bCs/>
        </w:rPr>
        <w:t xml:space="preserve">aperti</w:t>
      </w:r>
      <w:r>
        <w:t xml:space="preserve"> </w:t>
      </w:r>
      <w:r>
        <w:t xml:space="preserve">(connessi). I bordi non elencati ricevono un</w:t>
      </w:r>
      <w:r>
        <w:t xml:space="preserve"> </w:t>
      </w:r>
      <w:r>
        <w:rPr>
          <w:b/>
          <w:bCs/>
        </w:rPr>
        <w:t xml:space="preserve">marcatore di muro</w:t>
      </w:r>
      <w:r>
        <w:t xml:space="preserve">: una linea spessa tracciata lungo il margine bianco esterno della carta (~3–4 mm), sul recto.</w:t>
      </w:r>
    </w:p>
    <w:p>
      <w:pPr>
        <w:pStyle w:val="BodyText"/>
      </w:pPr>
      <w:r>
        <w:rPr>
          <w:b/>
          <w:bCs/>
        </w:rPr>
        <w:t xml:space="preserve">Esempio:</w:t>
      </w:r>
      <w:r>
        <w:t xml:space="preserve"> </w:t>
      </w:r>
      <w:r>
        <w:t xml:space="preserve">se la matrice indica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i bordi Nord e Ovest sono aperti — non si toccano. I bordi Sud ed Est ricevono il marcatore di muro.</w:t>
      </w:r>
    </w:p>
    <w:p>
      <w:pPr>
        <w:pStyle w:val="BodyText"/>
      </w:pPr>
      <w:r>
        <w:t xml:space="preserve">Lascia qualche secondo di asciugatura tra una carta e l’altra prima di sovrapporle.</w:t>
      </w:r>
    </w:p>
    <w:p>
      <w:r>
        <w:pict>
          <v:rect style="width:0;height:1.5pt" o:hralign="center" o:hrstd="t" o:hr="t"/>
        </w:pict>
      </w:r>
    </w:p>
    <w:bookmarkEnd w:id="13"/>
    <w:bookmarkStart w:id="14" w:name="fase-3-punto-di-orientamento-polo-nord"/>
    <w:p>
      <w:pPr>
        <w:pStyle w:val="Heading2"/>
      </w:pPr>
      <w:r>
        <w:t xml:space="preserve">Fase 3 — Punto di orientamento (polo nord)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Traccia un piccolo punto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nell’angolo estremo in basso a destra di ogni carta — la zona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del recto. Questo punto rompe la simmetria verticale delle carte standard e indica il polo nord: il lato con l’indice pre-stampato in alto a sinistra (NW).</w:t>
      </w:r>
    </w:p>
    <w:p>
      <w:pPr>
        <w:pStyle w:val="BodyText"/>
      </w:pPr>
      <w:r>
        <w:t xml:space="preserve">Il punto va su tutte le 52 carte regolari e sui 2 Jolly.</w:t>
      </w:r>
    </w:p>
    <w:p>
      <w:r>
        <w:pict>
          <v:rect style="width:0;height:1.5pt" o:hralign="center" o:hrstd="t" o:hr="t"/>
        </w:pict>
      </w:r>
    </w:p>
    <w:bookmarkEnd w:id="14"/>
    <w:bookmarkStart w:id="15" w:name="fase-4-glifi-primari-e-modificatori"/>
    <w:p>
      <w:pPr>
        <w:pStyle w:val="Heading2"/>
      </w:pPr>
      <w:r>
        <w:t xml:space="preserve">Fase 4 — Glifi primari e modificatori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 per le carte rosse (♥ ♦) · pennarello rosso per le carte nere (♣ ♠).</w:t>
      </w:r>
    </w:p>
    <w:p>
      <w:pPr>
        <w:pStyle w:val="BodyText"/>
      </w:pPr>
      <w:r>
        <w:t xml:space="preserve">Consulta la matrice di annotazione. Per ogni carta, annota: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primario</w:t>
      </w:r>
      <w:r>
        <w:t xml:space="preserve"> </w:t>
      </w:r>
      <w:r>
        <w:t xml:space="preserve">nella zona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(bordo medio inferiore, interno alla carta) e il suo speculare capovolto in zona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(bordo medio superiore).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modificatore</w:t>
      </w:r>
      <w:r>
        <w:t xml:space="preserve"> </w:t>
      </w:r>
      <w:r>
        <w:t xml:space="preserve">nell’angolo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(angolo superiore destro) e il suo speculare capovolto in zona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(angolo inferiore sinistro).</w:t>
      </w:r>
    </w:p>
    <w:p>
      <w:pPr>
        <w:pStyle w:val="FirstParagraph"/>
      </w:pPr>
      <w:r>
        <w:t xml:space="preserve">Le posizioni speculari (N e SW) servono a rendere la carta leggibile a ventaglio, indipendentemente dall’orientamento in mano.</w:t>
      </w:r>
    </w:p>
    <w:p>
      <w:pPr>
        <w:pStyle w:val="BodyText"/>
      </w:pPr>
      <w:r>
        <w:t xml:space="preserve">Il vocabolario DECK# comprende sette glifi: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Come si traccia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un 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linea</w:t>
            </w:r>
          </w:p>
        </w:tc>
        <w:tc>
          <w:tcPr/>
          <w:p>
            <w:pPr>
              <w:pStyle w:val="Compact"/>
            </w:pPr>
            <w:r>
              <w:t xml:space="preserve">una linea orizzontale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croce</w:t>
            </w:r>
          </w:p>
        </w:tc>
        <w:tc>
          <w:tcPr/>
          <w:p>
            <w:pPr>
              <w:pStyle w:val="Compact"/>
            </w:pPr>
            <w:r>
              <w:t xml:space="preserve">due linee perpendicolari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diagonale</w:t>
            </w:r>
          </w:p>
        </w:tc>
        <w:tc>
          <w:tcPr/>
          <w:p>
            <w:pPr>
              <w:pStyle w:val="Compact"/>
            </w:pPr>
            <w:r>
              <w:t xml:space="preserve">due linee diagonali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triangolo</w:t>
            </w:r>
          </w:p>
        </w:tc>
        <w:tc>
          <w:tcPr/>
          <w:p>
            <w:pPr>
              <w:pStyle w:val="Compact"/>
            </w:pPr>
            <w:r>
              <w:t xml:space="preserve">tre tratti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cerchio</w:t>
            </w:r>
          </w:p>
        </w:tc>
        <w:tc>
          <w:tcPr/>
          <w:p>
            <w:pPr>
              <w:pStyle w:val="Compact"/>
            </w:pPr>
            <w:r>
              <w:t xml:space="preserve">un anello chiuso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quadrato</w:t>
            </w:r>
          </w:p>
        </w:tc>
        <w:tc>
          <w:tcPr/>
          <w:p>
            <w:pPr>
              <w:pStyle w:val="Compact"/>
            </w:pPr>
            <w:r>
              <w:t xml:space="preserve">quattro tratti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ccezione-i-jolly"/>
    <w:p>
      <w:pPr>
        <w:pStyle w:val="Heading2"/>
      </w:pPr>
      <w:r>
        <w:t xml:space="preserve">Eccezione: i Jolly</w:t>
      </w:r>
    </w:p>
    <w:p>
      <w:pPr>
        <w:pStyle w:val="FirstParagraph"/>
      </w:pPr>
      <w:r>
        <w:t xml:space="preserve">I due Jolly ricevono il</w:t>
      </w:r>
      <w:r>
        <w:t xml:space="preserve"> </w:t>
      </w:r>
      <w:r>
        <w:rPr>
          <w:b/>
          <w:bCs/>
        </w:rPr>
        <w:t xml:space="preserve">marcatore di quadrante</w:t>
      </w:r>
      <w:r>
        <w:t xml:space="preserve"> </w:t>
      </w:r>
      <w:r>
        <w:t xml:space="preserve">sul dorso (Fase 1, identico alle 52 carte regolari) e il</w:t>
      </w:r>
      <w:r>
        <w:t xml:space="preserve"> </w:t>
      </w:r>
      <w:r>
        <w:rPr>
          <w:b/>
          <w:bCs/>
        </w:rPr>
        <w:t xml:space="preserve">punto di orientamento</w:t>
      </w:r>
      <w:r>
        <w:t xml:space="preserve"> </w:t>
      </w:r>
      <w:r>
        <w:t xml:space="preserve">in zona SE (Fase 3). Nessun marcatore di connettività, nessun glifo primario, nessun modificatore.</w:t>
      </w:r>
    </w:p>
    <w:p>
      <w:pPr>
        <w:pStyle w:val="BodyText"/>
      </w:pPr>
      <w:r>
        <w:t xml:space="preserve">Sono variabili non istanziate: ogni gioco decide se e come usarli.</w:t>
      </w:r>
    </w:p>
    <w:p>
      <w:r>
        <w:pict>
          <v:rect style="width:0;height:1.5pt" o:hralign="center" o:hrstd="t" o:hr="t"/>
        </w:pict>
      </w:r>
    </w:p>
    <w:bookmarkEnd w:id="16"/>
    <w:bookmarkStart w:id="17" w:name="schema-riepilogativo-per-carta"/>
    <w:p>
      <w:pPr>
        <w:pStyle w:val="Heading2"/>
      </w:pPr>
      <w:r>
        <w:t xml:space="preserve">Schema riepilogativo per carta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52 carte regolari</w:t>
            </w:r>
          </w:p>
        </w:tc>
        <w:tc>
          <w:tcPr/>
          <w:p>
            <w:pPr>
              <w:pStyle w:val="Compact"/>
            </w:pPr>
            <w:r>
              <w:t xml:space="preserve">2 Jolly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polo nord</w:t>
            </w:r>
          </w:p>
        </w:tc>
        <w:tc>
          <w:tcPr/>
          <w:p>
            <w:pPr>
              <w:pStyle w:val="Compact"/>
            </w:pPr>
            <w:r>
              <w:t xml:space="preserve">Angolo SE recto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</w:t>
            </w:r>
          </w:p>
        </w:tc>
        <w:tc>
          <w:tcPr/>
          <w:p>
            <w:pPr>
              <w:pStyle w:val="Compact"/>
            </w:pPr>
            <w:r>
              <w:t xml:space="preserve">Zone S + N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modificatore</w:t>
            </w:r>
          </w:p>
        </w:tc>
        <w:tc>
          <w:tcPr/>
          <w:p>
            <w:pPr>
              <w:pStyle w:val="Compact"/>
            </w:pPr>
            <w:r>
              <w:t xml:space="preserve">Zone NE + SW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e-leggere-la-matrice-di-annotazione"/>
    <w:p>
      <w:pPr>
        <w:pStyle w:val="Heading2"/>
      </w:pPr>
      <w:r>
        <w:t xml:space="preserve">Come leggere la matrice di annotazione</w:t>
      </w:r>
    </w:p>
    <w:p>
      <w:pPr>
        <w:pStyle w:val="FirstParagraph"/>
      </w:pPr>
      <w:r>
        <w:t xml:space="preserve">La matrice elenca tutte le 54 carte con tre informazioni: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i bordi aperti, in notazione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 I bordi non elencati ricevono il marcatore di muro.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il glifo da tracciare in zona S (e N speculare).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il glifo da tracciare in zona NE (e SW speculare).</w:t>
      </w:r>
    </w:p>
    <w:p>
      <w:pPr>
        <w:pStyle w:val="FirstParagraph"/>
      </w:pPr>
      <w:r>
        <w:t xml:space="preserve">Il colore dei glifi non è nella matrice perché si ricava sempre dal seme: nero per ♥/♦, rosso per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all’Annotazione DECK#</dc:title>
  <dc:creator>Roberto Bisceglie</dc:creator>
  <dc:language>it</dc:language>
  <cp:keywords/>
  <dcterms:created xsi:type="dcterms:W3CDTF">2026-07-01T07:47:53Z</dcterms:created>
  <dcterms:modified xsi:type="dcterms:W3CDTF">2026-07-01T07:47:53Z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Come preparare fisicamente il tuo mazzo DECK#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